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F12A3C">
        <w:rPr>
          <w:rFonts w:ascii="Times New Roman" w:hAnsi="Times New Roman" w:cs="Times New Roman"/>
          <w:sz w:val="28"/>
          <w:szCs w:val="28"/>
        </w:rPr>
        <w:t xml:space="preserve">от 05.05.2023 № 1329-п/1.3/пр. </w:t>
      </w:r>
      <w:r w:rsidR="00F12A3C" w:rsidRPr="007561B0">
        <w:rPr>
          <w:rFonts w:ascii="Times New Roman" w:hAnsi="Times New Roman"/>
          <w:sz w:val="28"/>
          <w:szCs w:val="28"/>
        </w:rPr>
        <w:t>«</w:t>
      </w:r>
      <w:r w:rsidR="00F12A3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30.07.2020 № 2301-п/1 «Об утверждении административного регламента предоставления муниципальной услуги «Предоставление ежемесячной денежной выплаты в случае смерти (гибели) Почетных граждан городского округа </w:t>
      </w:r>
      <w:proofErr w:type="gramStart"/>
      <w:r w:rsidR="00F12A3C">
        <w:rPr>
          <w:rFonts w:ascii="Times New Roman" w:hAnsi="Times New Roman"/>
          <w:sz w:val="28"/>
          <w:szCs w:val="28"/>
        </w:rPr>
        <w:t>Тольятти</w:t>
      </w:r>
      <w:proofErr w:type="gramEnd"/>
      <w:r w:rsidR="00F12A3C">
        <w:rPr>
          <w:rFonts w:ascii="Times New Roman" w:hAnsi="Times New Roman"/>
          <w:sz w:val="28"/>
          <w:szCs w:val="28"/>
        </w:rPr>
        <w:t xml:space="preserve"> пережившим их супругам и родителям, проживавшим совместно с Почетным гражданином городского округа Тольятти на день его смерти (гибели)</w:t>
      </w:r>
      <w:r w:rsidR="00F12A3C" w:rsidRPr="00A8045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517F49"/>
    <w:rsid w:val="00560521"/>
    <w:rsid w:val="006D3688"/>
    <w:rsid w:val="008E6748"/>
    <w:rsid w:val="00962788"/>
    <w:rsid w:val="00A93F06"/>
    <w:rsid w:val="00B1046D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2023-06-01T12:23:00Z</dcterms:created>
  <dcterms:modified xsi:type="dcterms:W3CDTF">2023-06-01T12:23:00Z</dcterms:modified>
</cp:coreProperties>
</file>