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C16" w:rsidRDefault="00955C16" w:rsidP="00F87ECA">
      <w:pPr>
        <w:keepLines w:val="0"/>
        <w:widowControl/>
        <w:suppressAutoHyphens w:val="0"/>
        <w:jc w:val="center"/>
        <w:rPr>
          <w:rFonts w:ascii="Times New Roman" w:eastAsia="Times New Roman" w:hAnsi="Times New Roman"/>
          <w:kern w:val="0"/>
          <w:sz w:val="28"/>
          <w:szCs w:val="28"/>
          <w:lang w:eastAsia="en-US"/>
        </w:rPr>
      </w:pPr>
      <w:bookmarkStart w:id="0" w:name="_GoBack"/>
      <w:bookmarkEnd w:id="0"/>
    </w:p>
    <w:p w:rsidR="00F87ECA" w:rsidRPr="00C056FB" w:rsidRDefault="00F87ECA" w:rsidP="00F87ECA">
      <w:pPr>
        <w:keepLines w:val="0"/>
        <w:widowControl/>
        <w:suppressAutoHyphens w:val="0"/>
        <w:jc w:val="center"/>
        <w:rPr>
          <w:rFonts w:ascii="Times New Roman" w:eastAsia="Times New Roman" w:hAnsi="Times New Roman"/>
          <w:kern w:val="0"/>
          <w:sz w:val="26"/>
          <w:szCs w:val="26"/>
          <w:lang w:eastAsia="en-US"/>
        </w:rPr>
      </w:pPr>
      <w:r w:rsidRPr="00C056FB">
        <w:rPr>
          <w:rFonts w:ascii="Times New Roman" w:eastAsia="Times New Roman" w:hAnsi="Times New Roman"/>
          <w:kern w:val="0"/>
          <w:sz w:val="26"/>
          <w:szCs w:val="26"/>
          <w:lang w:eastAsia="en-US"/>
        </w:rPr>
        <w:t>Проект постановления</w:t>
      </w:r>
    </w:p>
    <w:p w:rsidR="00F87ECA" w:rsidRPr="00C056FB" w:rsidRDefault="00F87ECA" w:rsidP="00F87ECA">
      <w:pPr>
        <w:keepLines w:val="0"/>
        <w:widowControl/>
        <w:suppressAutoHyphens w:val="0"/>
        <w:spacing w:after="200" w:line="276" w:lineRule="auto"/>
        <w:jc w:val="center"/>
        <w:rPr>
          <w:rFonts w:ascii="Times New Roman" w:eastAsia="Calibri" w:hAnsi="Times New Roman"/>
          <w:kern w:val="0"/>
          <w:sz w:val="26"/>
          <w:szCs w:val="26"/>
          <w:lang w:eastAsia="en-US"/>
        </w:rPr>
      </w:pPr>
      <w:r w:rsidRPr="00C056FB">
        <w:rPr>
          <w:rFonts w:ascii="Times New Roman" w:eastAsia="Calibri" w:hAnsi="Times New Roman"/>
          <w:kern w:val="0"/>
          <w:sz w:val="26"/>
          <w:szCs w:val="26"/>
          <w:lang w:eastAsia="en-US"/>
        </w:rPr>
        <w:t>администрации городского округа Тольятти</w:t>
      </w:r>
    </w:p>
    <w:p w:rsidR="00955C16" w:rsidRPr="00C056FB" w:rsidRDefault="00886486" w:rsidP="00CE6BF3">
      <w:pPr>
        <w:ind w:right="-143"/>
        <w:jc w:val="center"/>
        <w:rPr>
          <w:rFonts w:ascii="Times New Roman" w:eastAsia="Calibri" w:hAnsi="Times New Roman"/>
          <w:kern w:val="0"/>
          <w:sz w:val="26"/>
          <w:szCs w:val="26"/>
          <w:lang w:eastAsia="en-US"/>
        </w:rPr>
      </w:pPr>
      <w:proofErr w:type="gramStart"/>
      <w:r w:rsidRPr="00886486">
        <w:rPr>
          <w:rFonts w:ascii="Times New Roman" w:eastAsia="Calibri" w:hAnsi="Times New Roman"/>
          <w:kern w:val="0"/>
          <w:sz w:val="26"/>
          <w:szCs w:val="26"/>
          <w:lang w:eastAsia="en-US"/>
        </w:rPr>
        <w:t>О признании</w:t>
      </w:r>
      <w:proofErr w:type="gramEnd"/>
      <w:r w:rsidRPr="00886486">
        <w:rPr>
          <w:rFonts w:ascii="Times New Roman" w:eastAsia="Calibri" w:hAnsi="Times New Roman"/>
          <w:kern w:val="0"/>
          <w:sz w:val="26"/>
          <w:szCs w:val="26"/>
          <w:lang w:eastAsia="en-US"/>
        </w:rPr>
        <w:t xml:space="preserve"> не подлежащем применению Проекта планировки с проектом межевания территории микрорайона «Портовый» и Центральной зоны отдыха Центрального района», утверждённого постановлением администрации городского округа Тольятти от 13.01.2020 № 11-п/1, в отдельной части, а именно в границах земельных участков с кадастровыми номерами 63:09:0305025:956 и 63:09:0305025:605.</w:t>
      </w:r>
      <w:r w:rsidR="00345BAB" w:rsidRPr="00C056FB">
        <w:rPr>
          <w:rFonts w:ascii="Times New Roman" w:eastAsia="Calibri" w:hAnsi="Times New Roman"/>
          <w:kern w:val="0"/>
          <w:sz w:val="26"/>
          <w:szCs w:val="26"/>
          <w:lang w:eastAsia="en-US"/>
        </w:rPr>
        <w:tab/>
      </w:r>
    </w:p>
    <w:p w:rsidR="00256885" w:rsidRPr="00C056FB" w:rsidRDefault="00F515CD" w:rsidP="00354479">
      <w:pPr>
        <w:keepLines w:val="0"/>
        <w:widowControl/>
        <w:suppressAutoHyphens w:val="0"/>
        <w:spacing w:after="200" w:line="276" w:lineRule="auto"/>
        <w:ind w:firstLine="851"/>
        <w:jc w:val="both"/>
        <w:rPr>
          <w:rFonts w:eastAsia="Calibri"/>
          <w:sz w:val="26"/>
          <w:szCs w:val="26"/>
          <w:lang w:eastAsia="ru-RU"/>
        </w:rPr>
      </w:pPr>
      <w:r w:rsidRPr="00C056FB">
        <w:rPr>
          <w:rFonts w:ascii="Times New Roman" w:eastAsia="Calibri" w:hAnsi="Times New Roman"/>
          <w:kern w:val="0"/>
          <w:sz w:val="26"/>
          <w:szCs w:val="26"/>
          <w:lang w:eastAsia="en-US"/>
        </w:rPr>
        <w:t xml:space="preserve">Рассмотрев </w:t>
      </w:r>
      <w:r w:rsidR="00044460" w:rsidRPr="00C056FB">
        <w:rPr>
          <w:rFonts w:ascii="Times New Roman" w:hAnsi="Times New Roman"/>
          <w:sz w:val="26"/>
          <w:szCs w:val="26"/>
        </w:rPr>
        <w:t xml:space="preserve">заявление </w:t>
      </w:r>
      <w:r w:rsidR="00886486" w:rsidRPr="00886486">
        <w:rPr>
          <w:rFonts w:ascii="Times New Roman" w:hAnsi="Times New Roman"/>
          <w:sz w:val="26"/>
          <w:szCs w:val="26"/>
        </w:rPr>
        <w:t>АО ФИК «Траст-Лидер</w:t>
      </w:r>
      <w:r w:rsidR="00886486">
        <w:rPr>
          <w:rFonts w:ascii="Times New Roman" w:hAnsi="Times New Roman"/>
          <w:sz w:val="26"/>
          <w:szCs w:val="26"/>
        </w:rPr>
        <w:t>»</w:t>
      </w:r>
      <w:r w:rsidR="001A590C" w:rsidRPr="00C056FB">
        <w:rPr>
          <w:rFonts w:ascii="Times New Roman" w:hAnsi="Times New Roman"/>
          <w:sz w:val="26"/>
          <w:szCs w:val="26"/>
        </w:rPr>
        <w:t xml:space="preserve"> </w:t>
      </w:r>
      <w:r w:rsidR="00886486" w:rsidRPr="00886486">
        <w:rPr>
          <w:rFonts w:ascii="Times New Roman" w:hAnsi="Times New Roman"/>
          <w:sz w:val="26"/>
          <w:szCs w:val="26"/>
        </w:rPr>
        <w:t>№ 2529-вх/5.1 от 06.06.2024</w:t>
      </w:r>
      <w:r w:rsidR="00044460" w:rsidRPr="00C056FB">
        <w:rPr>
          <w:rFonts w:ascii="Times New Roman" w:hAnsi="Times New Roman"/>
          <w:sz w:val="26"/>
          <w:szCs w:val="26"/>
        </w:rPr>
        <w:t xml:space="preserve">),  с целью корректировки </w:t>
      </w:r>
      <w:r w:rsidR="00B1378A">
        <w:rPr>
          <w:rFonts w:ascii="Times New Roman" w:hAnsi="Times New Roman"/>
          <w:sz w:val="26"/>
          <w:szCs w:val="26"/>
        </w:rPr>
        <w:t>п</w:t>
      </w:r>
      <w:r w:rsidR="00CE6BF3" w:rsidRPr="00CE6BF3">
        <w:rPr>
          <w:rFonts w:ascii="Times New Roman" w:hAnsi="Times New Roman"/>
          <w:sz w:val="26"/>
          <w:szCs w:val="26"/>
        </w:rPr>
        <w:t xml:space="preserve">роекта планировки </w:t>
      </w:r>
      <w:r w:rsidR="00CB11F9" w:rsidRPr="00CB11F9">
        <w:rPr>
          <w:rFonts w:ascii="Times New Roman" w:hAnsi="Times New Roman"/>
          <w:sz w:val="26"/>
          <w:szCs w:val="26"/>
        </w:rPr>
        <w:t xml:space="preserve">с проектом межевания </w:t>
      </w:r>
      <w:r w:rsidR="00CE6BF3" w:rsidRPr="00CE6BF3">
        <w:rPr>
          <w:rFonts w:ascii="Times New Roman" w:hAnsi="Times New Roman"/>
          <w:sz w:val="26"/>
          <w:szCs w:val="26"/>
        </w:rPr>
        <w:t>территории микрорайона «Портовый» и Центральной зоны отдыха Центрального района», утверждённ</w:t>
      </w:r>
      <w:r w:rsidR="00CE6BF3">
        <w:rPr>
          <w:rFonts w:ascii="Times New Roman" w:hAnsi="Times New Roman"/>
          <w:sz w:val="26"/>
          <w:szCs w:val="26"/>
        </w:rPr>
        <w:t>ого</w:t>
      </w:r>
      <w:r w:rsidR="00CE6BF3" w:rsidRPr="00CE6BF3">
        <w:rPr>
          <w:rFonts w:ascii="Times New Roman" w:hAnsi="Times New Roman"/>
          <w:sz w:val="26"/>
          <w:szCs w:val="26"/>
        </w:rPr>
        <w:t xml:space="preserve"> постановлением администрации городского округа Тольятти от 13.01.2020 № 11-п/1</w:t>
      </w:r>
      <w:r w:rsidR="00452DD5" w:rsidRPr="00C056FB">
        <w:rPr>
          <w:rFonts w:ascii="Times New Roman" w:eastAsia="Calibri" w:hAnsi="Times New Roman"/>
          <w:kern w:val="0"/>
          <w:sz w:val="26"/>
          <w:szCs w:val="26"/>
          <w:lang w:eastAsia="en-US"/>
        </w:rPr>
        <w:t>,</w:t>
      </w:r>
      <w:r w:rsidR="001A590C" w:rsidRPr="00C056FB">
        <w:rPr>
          <w:rFonts w:ascii="Times New Roman" w:eastAsia="Calibri" w:hAnsi="Times New Roman"/>
          <w:kern w:val="0"/>
          <w:sz w:val="26"/>
          <w:szCs w:val="26"/>
          <w:lang w:eastAsia="en-US"/>
        </w:rPr>
        <w:t xml:space="preserve"> </w:t>
      </w:r>
      <w:r w:rsidR="00C056FB" w:rsidRPr="00C056FB">
        <w:rPr>
          <w:rFonts w:ascii="Times New Roman" w:eastAsia="Calibri" w:hAnsi="Times New Roman"/>
          <w:kern w:val="0"/>
          <w:sz w:val="26"/>
          <w:szCs w:val="26"/>
          <w:lang w:eastAsia="en-US"/>
        </w:rPr>
        <w:t>в соответствии со статьей 8 Федерального закона от 10.07.2023 N 305-ФЗ "О внесении изменений в Градостроительный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Федерации"</w:t>
      </w:r>
      <w:r w:rsidR="00A44E39" w:rsidRPr="00C056FB">
        <w:rPr>
          <w:rFonts w:ascii="Times New Roman" w:eastAsia="Calibri" w:hAnsi="Times New Roman"/>
          <w:kern w:val="0"/>
          <w:sz w:val="26"/>
          <w:szCs w:val="26"/>
          <w:lang w:eastAsia="en-US"/>
        </w:rPr>
        <w:t xml:space="preserve">, Порядком подготовки документации по планировке территории, разрабатываемой на основании решений органов местного самоуправления городского округа Тольятти, утвержденным постановлением администрации городского округа Тольятти от 31.05.2018 №1645-п/1, </w:t>
      </w:r>
      <w:r w:rsidR="00166915" w:rsidRPr="00C056FB">
        <w:rPr>
          <w:rFonts w:ascii="Times New Roman" w:eastAsia="Calibri" w:hAnsi="Times New Roman"/>
          <w:kern w:val="0"/>
          <w:sz w:val="26"/>
          <w:szCs w:val="26"/>
          <w:lang w:eastAsia="en-US"/>
        </w:rPr>
        <w:t xml:space="preserve">руководствуясь </w:t>
      </w:r>
      <w:r w:rsidR="00345BAB" w:rsidRPr="00C056FB">
        <w:rPr>
          <w:rFonts w:ascii="Times New Roman" w:eastAsia="Calibri" w:hAnsi="Times New Roman"/>
          <w:kern w:val="0"/>
          <w:sz w:val="26"/>
          <w:szCs w:val="26"/>
          <w:lang w:eastAsia="en-US"/>
        </w:rPr>
        <w:t>Уставом городского округа Тольятти, администрация городского округа Тольятти ПОСТАНОВЛЯЕТ:</w:t>
      </w:r>
      <w:r w:rsidR="00E645AB" w:rsidRPr="00C056FB">
        <w:rPr>
          <w:rFonts w:eastAsia="Calibri"/>
          <w:sz w:val="26"/>
          <w:szCs w:val="26"/>
          <w:lang w:eastAsia="ru-RU"/>
        </w:rPr>
        <w:tab/>
      </w:r>
    </w:p>
    <w:p w:rsidR="00311DF8" w:rsidRPr="00354479" w:rsidRDefault="00215D05" w:rsidP="00354479">
      <w:pPr>
        <w:pStyle w:val="a5"/>
        <w:spacing w:line="276" w:lineRule="auto"/>
        <w:ind w:firstLine="851"/>
        <w:jc w:val="both"/>
        <w:rPr>
          <w:rFonts w:eastAsia="Calibri"/>
          <w:sz w:val="26"/>
          <w:szCs w:val="26"/>
          <w:lang w:val="ru-RU" w:eastAsia="en-US"/>
        </w:rPr>
      </w:pPr>
      <w:r w:rsidRPr="00C056FB">
        <w:rPr>
          <w:rFonts w:eastAsia="Calibri" w:cs="Times New Roman"/>
          <w:sz w:val="26"/>
          <w:szCs w:val="26"/>
          <w:lang w:val="ru-RU" w:eastAsia="ru-RU"/>
        </w:rPr>
        <w:t>1.</w:t>
      </w:r>
      <w:r w:rsidR="00311DF8" w:rsidRPr="00C056FB">
        <w:rPr>
          <w:rFonts w:eastAsia="Calibri" w:cs="Times New Roman"/>
          <w:sz w:val="26"/>
          <w:szCs w:val="26"/>
          <w:lang w:val="ru-RU" w:eastAsia="ru-RU"/>
        </w:rPr>
        <w:t xml:space="preserve"> </w:t>
      </w:r>
      <w:r w:rsidR="00345BAB" w:rsidRPr="00C056FB">
        <w:rPr>
          <w:rFonts w:eastAsia="Calibri" w:cs="Times New Roman"/>
          <w:sz w:val="26"/>
          <w:szCs w:val="26"/>
          <w:lang w:val="ru-RU" w:eastAsia="ru-RU"/>
        </w:rPr>
        <w:t xml:space="preserve">Признать </w:t>
      </w:r>
      <w:r w:rsidR="001A590C" w:rsidRPr="00C056FB">
        <w:rPr>
          <w:rFonts w:eastAsia="Calibri"/>
          <w:sz w:val="26"/>
          <w:szCs w:val="26"/>
          <w:lang w:eastAsia="en-US"/>
        </w:rPr>
        <w:t xml:space="preserve">не подлежащем применению </w:t>
      </w:r>
      <w:r w:rsidR="00CE6BF3">
        <w:rPr>
          <w:rFonts w:eastAsia="Calibri"/>
          <w:sz w:val="26"/>
          <w:szCs w:val="26"/>
          <w:lang w:val="ru-RU" w:eastAsia="en-US"/>
        </w:rPr>
        <w:t>п</w:t>
      </w:r>
      <w:r w:rsidR="00CE6BF3">
        <w:rPr>
          <w:rFonts w:eastAsia="Calibri"/>
          <w:sz w:val="26"/>
          <w:szCs w:val="26"/>
          <w:lang w:eastAsia="en-US"/>
        </w:rPr>
        <w:t>роект</w:t>
      </w:r>
      <w:r w:rsidR="00CE6BF3" w:rsidRPr="00CE6BF3">
        <w:rPr>
          <w:rFonts w:eastAsia="Calibri"/>
          <w:sz w:val="26"/>
          <w:szCs w:val="26"/>
          <w:lang w:eastAsia="en-US"/>
        </w:rPr>
        <w:t xml:space="preserve"> планировки </w:t>
      </w:r>
      <w:r w:rsidR="00CB11F9" w:rsidRPr="00CB11F9">
        <w:rPr>
          <w:rFonts w:eastAsia="Calibri"/>
          <w:sz w:val="26"/>
          <w:szCs w:val="26"/>
          <w:lang w:eastAsia="en-US"/>
        </w:rPr>
        <w:t xml:space="preserve">с проектом межевания </w:t>
      </w:r>
      <w:r w:rsidR="00CE6BF3" w:rsidRPr="00CE6BF3">
        <w:rPr>
          <w:rFonts w:eastAsia="Calibri"/>
          <w:sz w:val="26"/>
          <w:szCs w:val="26"/>
          <w:lang w:eastAsia="en-US"/>
        </w:rPr>
        <w:t>территории микрорайона «Портовый» и Центральной зоны отдыха Центрального района», утверждённ</w:t>
      </w:r>
      <w:r w:rsidR="00CE6BF3">
        <w:rPr>
          <w:rFonts w:eastAsia="Calibri"/>
          <w:sz w:val="26"/>
          <w:szCs w:val="26"/>
          <w:lang w:val="ru-RU" w:eastAsia="en-US"/>
        </w:rPr>
        <w:t>ый</w:t>
      </w:r>
      <w:r w:rsidR="00CE6BF3" w:rsidRPr="00CE6BF3">
        <w:rPr>
          <w:rFonts w:eastAsia="Calibri"/>
          <w:sz w:val="26"/>
          <w:szCs w:val="26"/>
          <w:lang w:eastAsia="en-US"/>
        </w:rPr>
        <w:t xml:space="preserve"> постановлением администрации городского округа Тольятти от 13.01.2020 № 11-п/1, в отдельной ее части, а именно </w:t>
      </w:r>
      <w:r w:rsidR="00886486" w:rsidRPr="00886486">
        <w:rPr>
          <w:rFonts w:eastAsia="Calibri"/>
          <w:sz w:val="26"/>
          <w:szCs w:val="26"/>
          <w:lang w:eastAsia="en-US"/>
        </w:rPr>
        <w:t>в границах земельных участков с кадастровыми номерами 63:09:0305025:956 и 63:09:0305025:605</w:t>
      </w:r>
      <w:r w:rsidR="00354479">
        <w:rPr>
          <w:rFonts w:eastAsia="Calibri"/>
          <w:sz w:val="26"/>
          <w:szCs w:val="26"/>
          <w:lang w:val="ru-RU" w:eastAsia="en-US"/>
        </w:rPr>
        <w:t>.</w:t>
      </w:r>
    </w:p>
    <w:p w:rsidR="00256885" w:rsidRPr="00C056FB" w:rsidRDefault="00CA3B17" w:rsidP="00354479">
      <w:pPr>
        <w:pStyle w:val="a5"/>
        <w:spacing w:line="276" w:lineRule="auto"/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C056FB">
        <w:rPr>
          <w:rFonts w:eastAsia="Calibri" w:cs="Times New Roman"/>
          <w:sz w:val="26"/>
          <w:szCs w:val="26"/>
          <w:lang w:val="ru-RU" w:eastAsia="ru-RU"/>
        </w:rPr>
        <w:t>2.</w:t>
      </w:r>
      <w:r w:rsidR="00311DF8" w:rsidRPr="00C056FB">
        <w:rPr>
          <w:rFonts w:eastAsia="Calibri" w:cs="Times New Roman"/>
          <w:sz w:val="26"/>
          <w:szCs w:val="26"/>
          <w:lang w:val="ru-RU" w:eastAsia="ru-RU"/>
        </w:rPr>
        <w:t xml:space="preserve"> </w:t>
      </w:r>
      <w:r w:rsidR="001D3A3D" w:rsidRPr="00C056FB">
        <w:rPr>
          <w:rFonts w:eastAsia="Calibri" w:cs="Times New Roman"/>
          <w:sz w:val="26"/>
          <w:szCs w:val="26"/>
          <w:lang w:val="ru-RU" w:eastAsia="en-US"/>
        </w:rPr>
        <w:t>Организационному управлению администрации городского округа Тольятти</w:t>
      </w:r>
      <w:r w:rsidR="002B5B9F" w:rsidRPr="00C056FB">
        <w:rPr>
          <w:rFonts w:eastAsia="Calibri" w:cs="Times New Roman"/>
          <w:sz w:val="26"/>
          <w:szCs w:val="26"/>
          <w:lang w:val="ru-RU" w:eastAsia="en-US"/>
        </w:rPr>
        <w:t xml:space="preserve"> (Власов В.А.)</w:t>
      </w:r>
      <w:r w:rsidR="001D3A3D" w:rsidRPr="00C056FB">
        <w:rPr>
          <w:rFonts w:eastAsia="Calibri" w:cs="Times New Roman"/>
          <w:sz w:val="26"/>
          <w:szCs w:val="26"/>
          <w:lang w:val="ru-RU" w:eastAsia="en-US"/>
        </w:rPr>
        <w:t xml:space="preserve"> опубликовать настоящее постановление в </w:t>
      </w:r>
      <w:r w:rsidR="009522A0" w:rsidRPr="00C056FB">
        <w:rPr>
          <w:rFonts w:eastAsia="Calibri" w:cs="Times New Roman"/>
          <w:sz w:val="26"/>
          <w:szCs w:val="26"/>
          <w:lang w:val="ru-RU" w:eastAsia="en-US"/>
        </w:rPr>
        <w:t>газете «Городские Ведомости»</w:t>
      </w:r>
      <w:r w:rsidR="001D3A3D" w:rsidRPr="00C056FB">
        <w:rPr>
          <w:rFonts w:eastAsia="Calibri" w:cs="Times New Roman"/>
          <w:sz w:val="26"/>
          <w:szCs w:val="26"/>
          <w:lang w:val="ru-RU" w:eastAsia="en-US"/>
        </w:rPr>
        <w:t xml:space="preserve"> и разместить в сети Интернет на официальном </w:t>
      </w:r>
      <w:r w:rsidR="00886486">
        <w:rPr>
          <w:rFonts w:eastAsia="Calibri" w:cs="Times New Roman"/>
          <w:sz w:val="26"/>
          <w:szCs w:val="26"/>
          <w:lang w:val="ru-RU" w:eastAsia="en-US"/>
        </w:rPr>
        <w:t>сайте</w:t>
      </w:r>
      <w:r w:rsidR="001D3A3D" w:rsidRPr="00C056FB">
        <w:rPr>
          <w:rFonts w:eastAsia="Calibri" w:cs="Times New Roman"/>
          <w:sz w:val="26"/>
          <w:szCs w:val="26"/>
          <w:lang w:val="ru-RU" w:eastAsia="en-US"/>
        </w:rPr>
        <w:t xml:space="preserve"> администрации городского округа Тольятти не позднее чем через семь дней со дня его принятия. </w:t>
      </w:r>
    </w:p>
    <w:p w:rsidR="00FF2573" w:rsidRPr="00C056FB" w:rsidRDefault="00FF2573" w:rsidP="00A20EC9">
      <w:pPr>
        <w:rPr>
          <w:rFonts w:ascii="Times New Roman" w:eastAsia="Times New Roman" w:hAnsi="Times New Roman"/>
          <w:sz w:val="26"/>
          <w:szCs w:val="26"/>
        </w:rPr>
      </w:pPr>
    </w:p>
    <w:p w:rsidR="001A590C" w:rsidRDefault="001A590C" w:rsidP="00A20EC9">
      <w:pPr>
        <w:rPr>
          <w:rFonts w:ascii="Times New Roman" w:eastAsia="Times New Roman" w:hAnsi="Times New Roman"/>
          <w:sz w:val="26"/>
          <w:szCs w:val="26"/>
        </w:rPr>
      </w:pPr>
    </w:p>
    <w:p w:rsidR="00354479" w:rsidRDefault="00354479" w:rsidP="00A20EC9">
      <w:pPr>
        <w:rPr>
          <w:rFonts w:ascii="Times New Roman" w:eastAsia="Times New Roman" w:hAnsi="Times New Roman"/>
          <w:sz w:val="26"/>
          <w:szCs w:val="26"/>
        </w:rPr>
      </w:pPr>
    </w:p>
    <w:p w:rsidR="00354479" w:rsidRPr="00C056FB" w:rsidRDefault="00354479" w:rsidP="00A20EC9">
      <w:pPr>
        <w:rPr>
          <w:rFonts w:ascii="Times New Roman" w:eastAsia="Times New Roman" w:hAnsi="Times New Roman"/>
          <w:sz w:val="26"/>
          <w:szCs w:val="26"/>
        </w:rPr>
      </w:pPr>
    </w:p>
    <w:p w:rsidR="00BB3AA9" w:rsidRPr="00C056FB" w:rsidRDefault="00984D4E" w:rsidP="00C056FB">
      <w:pPr>
        <w:jc w:val="center"/>
        <w:rPr>
          <w:rFonts w:ascii="Times New Roman" w:eastAsia="Times New Roman" w:hAnsi="Times New Roman"/>
          <w:sz w:val="26"/>
          <w:szCs w:val="26"/>
        </w:rPr>
      </w:pPr>
      <w:r w:rsidRPr="00C056FB">
        <w:rPr>
          <w:rFonts w:ascii="Times New Roman" w:eastAsia="Times New Roman" w:hAnsi="Times New Roman"/>
          <w:sz w:val="26"/>
          <w:szCs w:val="26"/>
        </w:rPr>
        <w:t xml:space="preserve">Глава городского округа Тольятти                             </w:t>
      </w:r>
      <w:r w:rsidR="00FF2573" w:rsidRPr="00C056FB">
        <w:rPr>
          <w:rFonts w:ascii="Times New Roman" w:eastAsia="Times New Roman" w:hAnsi="Times New Roman"/>
          <w:sz w:val="26"/>
          <w:szCs w:val="26"/>
        </w:rPr>
        <w:t xml:space="preserve">         </w:t>
      </w:r>
      <w:r w:rsidRPr="00C056FB">
        <w:rPr>
          <w:rFonts w:ascii="Times New Roman" w:eastAsia="Times New Roman" w:hAnsi="Times New Roman"/>
          <w:sz w:val="26"/>
          <w:szCs w:val="26"/>
        </w:rPr>
        <w:t xml:space="preserve">                    Н.А. Ренц</w:t>
      </w:r>
    </w:p>
    <w:p w:rsidR="001A590C" w:rsidRDefault="001A590C" w:rsidP="007C2699">
      <w:pPr>
        <w:spacing w:line="240" w:lineRule="atLeast"/>
        <w:rPr>
          <w:rFonts w:ascii="Times New Roman" w:hAnsi="Times New Roman"/>
          <w:szCs w:val="20"/>
        </w:rPr>
      </w:pPr>
    </w:p>
    <w:p w:rsidR="001A590C" w:rsidRDefault="001A590C" w:rsidP="007C2699">
      <w:pPr>
        <w:spacing w:line="240" w:lineRule="atLeast"/>
        <w:rPr>
          <w:rFonts w:ascii="Times New Roman" w:hAnsi="Times New Roman"/>
          <w:szCs w:val="20"/>
        </w:rPr>
      </w:pPr>
    </w:p>
    <w:p w:rsidR="001A590C" w:rsidRDefault="001A590C" w:rsidP="007C2699">
      <w:pPr>
        <w:spacing w:line="240" w:lineRule="atLeast"/>
        <w:rPr>
          <w:rFonts w:ascii="Times New Roman" w:hAnsi="Times New Roman"/>
          <w:szCs w:val="20"/>
        </w:rPr>
      </w:pPr>
    </w:p>
    <w:p w:rsidR="00354479" w:rsidRDefault="00354479" w:rsidP="007C2699">
      <w:pPr>
        <w:spacing w:line="240" w:lineRule="atLeast"/>
        <w:rPr>
          <w:rFonts w:ascii="Times New Roman" w:hAnsi="Times New Roman"/>
          <w:szCs w:val="20"/>
        </w:rPr>
      </w:pPr>
    </w:p>
    <w:p w:rsidR="00354479" w:rsidRDefault="00354479" w:rsidP="007C2699">
      <w:pPr>
        <w:spacing w:line="240" w:lineRule="atLeast"/>
        <w:rPr>
          <w:rFonts w:ascii="Times New Roman" w:hAnsi="Times New Roman"/>
          <w:szCs w:val="20"/>
        </w:rPr>
      </w:pPr>
    </w:p>
    <w:p w:rsidR="00354479" w:rsidRDefault="00354479" w:rsidP="007C2699">
      <w:pPr>
        <w:spacing w:line="240" w:lineRule="atLeast"/>
        <w:rPr>
          <w:rFonts w:ascii="Times New Roman" w:hAnsi="Times New Roman"/>
          <w:szCs w:val="20"/>
        </w:rPr>
      </w:pPr>
    </w:p>
    <w:p w:rsidR="00354479" w:rsidRDefault="00354479" w:rsidP="007C2699">
      <w:pPr>
        <w:spacing w:line="240" w:lineRule="atLeast"/>
        <w:rPr>
          <w:rFonts w:ascii="Times New Roman" w:hAnsi="Times New Roman"/>
          <w:szCs w:val="20"/>
        </w:rPr>
      </w:pPr>
    </w:p>
    <w:p w:rsidR="007C2699" w:rsidRPr="007C2699" w:rsidRDefault="007C2699" w:rsidP="007C2699">
      <w:pPr>
        <w:spacing w:line="240" w:lineRule="atLeast"/>
        <w:rPr>
          <w:rFonts w:ascii="Times New Roman" w:hAnsi="Times New Roman"/>
          <w:szCs w:val="20"/>
        </w:rPr>
      </w:pPr>
      <w:r w:rsidRPr="007C2699">
        <w:rPr>
          <w:rFonts w:ascii="Times New Roman" w:hAnsi="Times New Roman"/>
          <w:szCs w:val="20"/>
        </w:rPr>
        <w:t>С.С. Балахонов 543440</w:t>
      </w:r>
    </w:p>
    <w:p w:rsidR="007C2699" w:rsidRPr="007C2699" w:rsidRDefault="00311DF8" w:rsidP="007C2699">
      <w:pPr>
        <w:spacing w:line="240" w:lineRule="atLeast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С.С. Журавлева 544433 (3587)</w:t>
      </w:r>
    </w:p>
    <w:sectPr w:rsidR="007C2699" w:rsidRPr="007C2699" w:rsidSect="00C056FB">
      <w:pgSz w:w="11906" w:h="16838"/>
      <w:pgMar w:top="284" w:right="850" w:bottom="284" w:left="1701" w:header="720" w:footer="445" w:gutter="0"/>
      <w:cols w:space="72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EC9"/>
    <w:rsid w:val="00044460"/>
    <w:rsid w:val="00055004"/>
    <w:rsid w:val="00084DE0"/>
    <w:rsid w:val="000A3886"/>
    <w:rsid w:val="000A4FF9"/>
    <w:rsid w:val="000A796F"/>
    <w:rsid w:val="000C3D90"/>
    <w:rsid w:val="000F2BD7"/>
    <w:rsid w:val="0013617E"/>
    <w:rsid w:val="001445AC"/>
    <w:rsid w:val="00166915"/>
    <w:rsid w:val="00171C0C"/>
    <w:rsid w:val="001760B9"/>
    <w:rsid w:val="001819D9"/>
    <w:rsid w:val="001A590C"/>
    <w:rsid w:val="001D2F0A"/>
    <w:rsid w:val="001D3A3D"/>
    <w:rsid w:val="002117E6"/>
    <w:rsid w:val="00215D05"/>
    <w:rsid w:val="00224D9F"/>
    <w:rsid w:val="0023401F"/>
    <w:rsid w:val="00247993"/>
    <w:rsid w:val="00256885"/>
    <w:rsid w:val="0027012C"/>
    <w:rsid w:val="002B5B9F"/>
    <w:rsid w:val="002F3990"/>
    <w:rsid w:val="00311DF8"/>
    <w:rsid w:val="00345BAB"/>
    <w:rsid w:val="00350529"/>
    <w:rsid w:val="00354479"/>
    <w:rsid w:val="00392BB7"/>
    <w:rsid w:val="003A06C0"/>
    <w:rsid w:val="003A2C42"/>
    <w:rsid w:val="003D3C4C"/>
    <w:rsid w:val="003F1403"/>
    <w:rsid w:val="00452DD5"/>
    <w:rsid w:val="00460139"/>
    <w:rsid w:val="00461E41"/>
    <w:rsid w:val="004B6A37"/>
    <w:rsid w:val="004C2D35"/>
    <w:rsid w:val="004C5125"/>
    <w:rsid w:val="0050698E"/>
    <w:rsid w:val="00521569"/>
    <w:rsid w:val="00535DB4"/>
    <w:rsid w:val="00567DA9"/>
    <w:rsid w:val="00586392"/>
    <w:rsid w:val="005A12C2"/>
    <w:rsid w:val="005D3157"/>
    <w:rsid w:val="005D40FD"/>
    <w:rsid w:val="006406AF"/>
    <w:rsid w:val="0066549E"/>
    <w:rsid w:val="006A68F8"/>
    <w:rsid w:val="006B27B8"/>
    <w:rsid w:val="006B3E4A"/>
    <w:rsid w:val="006C1C1F"/>
    <w:rsid w:val="006C788B"/>
    <w:rsid w:val="006E1D33"/>
    <w:rsid w:val="006F3DC6"/>
    <w:rsid w:val="0070343A"/>
    <w:rsid w:val="0071179E"/>
    <w:rsid w:val="007508BD"/>
    <w:rsid w:val="00752B5B"/>
    <w:rsid w:val="007805FC"/>
    <w:rsid w:val="00791190"/>
    <w:rsid w:val="007A6A30"/>
    <w:rsid w:val="007B7388"/>
    <w:rsid w:val="007C2699"/>
    <w:rsid w:val="00824A47"/>
    <w:rsid w:val="00835699"/>
    <w:rsid w:val="00837091"/>
    <w:rsid w:val="0085064A"/>
    <w:rsid w:val="00853DEE"/>
    <w:rsid w:val="00855FF2"/>
    <w:rsid w:val="008839BF"/>
    <w:rsid w:val="00886486"/>
    <w:rsid w:val="00895CDE"/>
    <w:rsid w:val="008C58A6"/>
    <w:rsid w:val="009011D6"/>
    <w:rsid w:val="00947C6E"/>
    <w:rsid w:val="009522A0"/>
    <w:rsid w:val="00955C16"/>
    <w:rsid w:val="00984D4E"/>
    <w:rsid w:val="009902C0"/>
    <w:rsid w:val="009E16D9"/>
    <w:rsid w:val="00A03B62"/>
    <w:rsid w:val="00A20EC9"/>
    <w:rsid w:val="00A37E37"/>
    <w:rsid w:val="00A44E39"/>
    <w:rsid w:val="00A5132B"/>
    <w:rsid w:val="00A53794"/>
    <w:rsid w:val="00A67D9A"/>
    <w:rsid w:val="00AA0A67"/>
    <w:rsid w:val="00AC39E4"/>
    <w:rsid w:val="00B00A0A"/>
    <w:rsid w:val="00B1378A"/>
    <w:rsid w:val="00B30C87"/>
    <w:rsid w:val="00B32FD0"/>
    <w:rsid w:val="00B62AFF"/>
    <w:rsid w:val="00B7260A"/>
    <w:rsid w:val="00B7668A"/>
    <w:rsid w:val="00B8144F"/>
    <w:rsid w:val="00BA6326"/>
    <w:rsid w:val="00BB1C33"/>
    <w:rsid w:val="00BB3AA9"/>
    <w:rsid w:val="00BD7BBF"/>
    <w:rsid w:val="00BF6B58"/>
    <w:rsid w:val="00C03DA1"/>
    <w:rsid w:val="00C056FB"/>
    <w:rsid w:val="00C07CDF"/>
    <w:rsid w:val="00C45D3D"/>
    <w:rsid w:val="00C511EB"/>
    <w:rsid w:val="00C54A50"/>
    <w:rsid w:val="00C701EA"/>
    <w:rsid w:val="00C745B1"/>
    <w:rsid w:val="00C83B74"/>
    <w:rsid w:val="00C84519"/>
    <w:rsid w:val="00C91624"/>
    <w:rsid w:val="00CA3B17"/>
    <w:rsid w:val="00CA3D33"/>
    <w:rsid w:val="00CB11F9"/>
    <w:rsid w:val="00CD10A7"/>
    <w:rsid w:val="00CE6BF3"/>
    <w:rsid w:val="00D3295F"/>
    <w:rsid w:val="00D95A7A"/>
    <w:rsid w:val="00DC7146"/>
    <w:rsid w:val="00DF08F0"/>
    <w:rsid w:val="00E14160"/>
    <w:rsid w:val="00E645AB"/>
    <w:rsid w:val="00E70D5C"/>
    <w:rsid w:val="00E7175C"/>
    <w:rsid w:val="00EA39EC"/>
    <w:rsid w:val="00EB36CC"/>
    <w:rsid w:val="00F0467C"/>
    <w:rsid w:val="00F515CD"/>
    <w:rsid w:val="00F87ECA"/>
    <w:rsid w:val="00FB25DB"/>
    <w:rsid w:val="00FD43E7"/>
    <w:rsid w:val="00FE7E88"/>
    <w:rsid w:val="00FF2573"/>
    <w:rsid w:val="00FF3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8CE7EDA-1E3C-4FBC-B234-D4D2DA4C7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EC9"/>
    <w:pPr>
      <w:keepLines/>
      <w:widowControl w:val="0"/>
      <w:suppressAutoHyphens/>
    </w:pPr>
    <w:rPr>
      <w:rFonts w:ascii="Arial" w:eastAsia="Lucida Sans Unicode" w:hAnsi="Arial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20EC9"/>
    <w:rPr>
      <w:color w:val="0000FF"/>
      <w:u w:val="single"/>
    </w:rPr>
  </w:style>
  <w:style w:type="paragraph" w:customStyle="1" w:styleId="a4">
    <w:name w:val="Базовый"/>
    <w:basedOn w:val="a"/>
    <w:uiPriority w:val="99"/>
    <w:rsid w:val="006A68F8"/>
    <w:pPr>
      <w:keepLines w:val="0"/>
      <w:widowControl/>
      <w:suppressAutoHyphens w:val="0"/>
    </w:pPr>
    <w:rPr>
      <w:rFonts w:ascii="Times New Roman" w:eastAsia="Calibri" w:hAnsi="Times New Roman"/>
      <w:kern w:val="0"/>
      <w:sz w:val="24"/>
      <w:lang w:eastAsia="ru-RU"/>
    </w:rPr>
  </w:style>
  <w:style w:type="paragraph" w:customStyle="1" w:styleId="a5">
    <w:name w:val="Исп"/>
    <w:basedOn w:val="a"/>
    <w:rsid w:val="00F87ECA"/>
    <w:pPr>
      <w:keepLines w:val="0"/>
      <w:widowControl/>
    </w:pPr>
    <w:rPr>
      <w:rFonts w:ascii="Times New Roman" w:eastAsia="Times New Roman" w:hAnsi="Times New Roman" w:cs="Arial"/>
      <w:kern w:val="0"/>
      <w:sz w:val="18"/>
      <w:szCs w:val="20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5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BFF6D-C2C1-4C83-A3C2-4DFD1E3EE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volodina.ia</dc:creator>
  <cp:keywords/>
  <cp:lastModifiedBy>Журавлева Наталия Михайловна</cp:lastModifiedBy>
  <cp:revision>2</cp:revision>
  <cp:lastPrinted>2021-03-17T09:21:00Z</cp:lastPrinted>
  <dcterms:created xsi:type="dcterms:W3CDTF">2024-06-11T06:24:00Z</dcterms:created>
  <dcterms:modified xsi:type="dcterms:W3CDTF">2024-06-11T06:24:00Z</dcterms:modified>
</cp:coreProperties>
</file>