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 2024, 19 января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0C0FE7" w:rsidRDefault="00816D0E" w:rsidP="005B4C94">
            <w:pPr>
              <w:jc w:val="both"/>
              <w:rPr>
                <w:bCs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бюджет </w:t>
            </w:r>
            <w:r w:rsidRPr="00182CE3">
              <w:rPr>
                <w:szCs w:val="24"/>
              </w:rPr>
              <w:t>городского округа Тольятти средст</w:t>
            </w:r>
            <w:r w:rsidR="00DF63A0">
              <w:rPr>
                <w:szCs w:val="24"/>
              </w:rPr>
              <w:t xml:space="preserve">в вышестоящих бюджетов </w:t>
            </w:r>
            <w:r w:rsidR="00DF63A0" w:rsidRPr="000C0FE7">
              <w:rPr>
                <w:szCs w:val="24"/>
              </w:rPr>
              <w:t>составит</w:t>
            </w:r>
            <w:r w:rsidR="00C17F63" w:rsidRPr="000C0FE7">
              <w:rPr>
                <w:szCs w:val="24"/>
              </w:rPr>
              <w:t xml:space="preserve"> </w:t>
            </w:r>
            <w:r w:rsidR="0073131D" w:rsidRPr="000C0FE7">
              <w:rPr>
                <w:bCs/>
              </w:rPr>
              <w:t>4</w:t>
            </w:r>
            <w:r w:rsidR="00980A09">
              <w:rPr>
                <w:bCs/>
              </w:rPr>
              <w:t> 268 165</w:t>
            </w:r>
            <w:r w:rsidR="0073131D" w:rsidRPr="000C0FE7">
              <w:rPr>
                <w:bCs/>
              </w:rPr>
              <w:t xml:space="preserve">,0 </w:t>
            </w:r>
            <w:r w:rsidR="0037408C" w:rsidRPr="000C0FE7">
              <w:rPr>
                <w:szCs w:val="24"/>
              </w:rPr>
              <w:t>тыс.руб., из них, в том числе: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1) по источникам финансового обеспечения:</w:t>
            </w:r>
          </w:p>
          <w:p w:rsidR="0037408C" w:rsidRPr="000C0FE7" w:rsidRDefault="0037408C" w:rsidP="005B4C94">
            <w:pPr>
              <w:jc w:val="both"/>
              <w:rPr>
                <w:bCs/>
                <w:szCs w:val="24"/>
              </w:rPr>
            </w:pPr>
            <w:r w:rsidRPr="000C0FE7">
              <w:rPr>
                <w:szCs w:val="24"/>
              </w:rPr>
              <w:t xml:space="preserve">- местный бюджет </w:t>
            </w:r>
            <w:r w:rsidR="0073131D" w:rsidRPr="000C0FE7">
              <w:rPr>
                <w:szCs w:val="24"/>
              </w:rPr>
              <w:t>-</w:t>
            </w:r>
            <w:r w:rsidR="007A45BC"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3 888</w:t>
            </w:r>
            <w:r w:rsidR="0073131D"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134</w:t>
            </w:r>
            <w:r w:rsidR="004F32A0" w:rsidRPr="000C0FE7">
              <w:rPr>
                <w:bCs/>
                <w:szCs w:val="24"/>
              </w:rPr>
              <w:t xml:space="preserve">,0 </w:t>
            </w:r>
            <w:r w:rsidRPr="000C0FE7">
              <w:rPr>
                <w:szCs w:val="24"/>
              </w:rPr>
              <w:t>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областной бюджет </w:t>
            </w:r>
            <w:r w:rsidR="00980A09">
              <w:rPr>
                <w:szCs w:val="24"/>
              </w:rPr>
              <w:t>-</w:t>
            </w:r>
            <w:r w:rsidR="0073131D" w:rsidRPr="000C0FE7">
              <w:rPr>
                <w:szCs w:val="24"/>
              </w:rPr>
              <w:t xml:space="preserve"> </w:t>
            </w:r>
            <w:r w:rsidR="00980A09">
              <w:rPr>
                <w:bCs/>
                <w:szCs w:val="24"/>
              </w:rPr>
              <w:t>110 147</w:t>
            </w:r>
            <w:r w:rsidR="009B219B" w:rsidRPr="000C0FE7">
              <w:rPr>
                <w:bCs/>
                <w:szCs w:val="24"/>
              </w:rPr>
              <w:t>,0</w:t>
            </w:r>
            <w:r w:rsidR="004F32A0" w:rsidRPr="000C0FE7">
              <w:rPr>
                <w:szCs w:val="24"/>
              </w:rPr>
              <w:t xml:space="preserve"> </w:t>
            </w:r>
            <w:r w:rsidR="0037408C" w:rsidRPr="000C0FE7">
              <w:rPr>
                <w:szCs w:val="24"/>
              </w:rPr>
              <w:t>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федеральный бюджет </w:t>
            </w:r>
            <w:r w:rsidR="00980A09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15 239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4F48D0" w:rsidRPr="000C0FE7">
              <w:rPr>
                <w:szCs w:val="24"/>
              </w:rPr>
              <w:t xml:space="preserve">-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4F48D0" w:rsidRPr="000C0FE7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727D8C" w:rsidRPr="000C0FE7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901 784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4F32A0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73131D" w:rsidRPr="000C0FE7">
              <w:rPr>
                <w:szCs w:val="24"/>
              </w:rPr>
              <w:t>87</w:t>
            </w:r>
            <w:r w:rsidR="00980A09">
              <w:rPr>
                <w:szCs w:val="24"/>
              </w:rPr>
              <w:t>9</w:t>
            </w:r>
            <w:r w:rsidR="00D13CC1"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133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926 004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E61201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4F48D0" w:rsidRPr="000C0FE7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 xml:space="preserve">0 тыс.руб.;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DF63A0" w:rsidRPr="000C0FE7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 xml:space="preserve">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8</w:t>
            </w:r>
            <w:r w:rsidR="00980A09">
              <w:rPr>
                <w:szCs w:val="24"/>
              </w:rPr>
              <w:t>51 333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980A09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828 682</w:t>
            </w:r>
            <w:r w:rsidR="0037408C"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8</w:t>
            </w:r>
            <w:r w:rsidR="0073131D" w:rsidRPr="000C0FE7">
              <w:rPr>
                <w:szCs w:val="24"/>
              </w:rPr>
              <w:t>7</w:t>
            </w:r>
            <w:r w:rsidR="00980A09">
              <w:rPr>
                <w:szCs w:val="24"/>
              </w:rPr>
              <w:t>5 553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тыс.руб.;</w:t>
            </w:r>
            <w:r w:rsidRPr="009B219B">
              <w:rPr>
                <w:szCs w:val="24"/>
              </w:rPr>
              <w:t xml:space="preserve">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 xml:space="preserve"> 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980A09" w:rsidRPr="00980A09" w:rsidRDefault="00BA509F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980A09" w:rsidRPr="00980A09">
        <w:rPr>
          <w:sz w:val="28"/>
          <w:szCs w:val="28"/>
        </w:rPr>
        <w:t>4 268 165,0 тыс.руб., из них, в том числе: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1) по источникам финансового обеспечения: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местный бюджет - 3 888 134,0 тыс.руб.;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областной бюджет - 110 147,0 тыс.руб.;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федеральный бюджет - 15 239,0 тыс.руб.;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внебюджетные средства - 254 645,0 тыс.руб.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 xml:space="preserve">2) по годам: 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 xml:space="preserve">- 2022 год - 715 448,0 тыс.руб.; 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 xml:space="preserve">- 2023 год - 845 796,0 тыс.руб.; 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- 2024 год - 901 784,0 тыс.руб.;</w:t>
      </w:r>
    </w:p>
    <w:p w:rsidR="00980A09" w:rsidRPr="00980A09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- 2025 год - 879 133,0 тыс.руб.;</w:t>
      </w:r>
    </w:p>
    <w:p w:rsidR="00BA509F" w:rsidRPr="00B50DF1" w:rsidRDefault="00980A09" w:rsidP="00980A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0A09">
        <w:rPr>
          <w:sz w:val="28"/>
          <w:szCs w:val="28"/>
        </w:rPr>
        <w:t>- 2026 год - 926 004,0 тыс.руб</w:t>
      </w:r>
      <w:r w:rsidR="00727D8C" w:rsidRPr="00727D8C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6A4F1B" w:rsidRDefault="006A4F1B" w:rsidP="006A4F1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Приложение № 1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 изложить в редакции согласно Приложению</w:t>
      </w:r>
      <w:r>
        <w:rPr>
          <w:sz w:val="28"/>
          <w:szCs w:val="28"/>
        </w:rPr>
        <w:t xml:space="preserve"> № 1</w:t>
      </w:r>
      <w:r w:rsidRPr="00B50DF1">
        <w:rPr>
          <w:sz w:val="28"/>
          <w:szCs w:val="28"/>
        </w:rPr>
        <w:t xml:space="preserve"> к настоящему постановлению.</w:t>
      </w:r>
    </w:p>
    <w:p w:rsidR="00980A09" w:rsidRDefault="00980A09" w:rsidP="00980A0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7E8C">
        <w:rPr>
          <w:sz w:val="28"/>
          <w:szCs w:val="28"/>
        </w:rPr>
        <w:t>1.4. В Приложении № 2 к Муниципальной программе:</w:t>
      </w:r>
    </w:p>
    <w:p w:rsidR="00980A09" w:rsidRDefault="00980A09" w:rsidP="00980A09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1.4.1. Пункт</w:t>
      </w:r>
      <w:r>
        <w:rPr>
          <w:sz w:val="28"/>
          <w:szCs w:val="28"/>
        </w:rPr>
        <w:t xml:space="preserve"> 1.16.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:rsidR="00980A09" w:rsidRDefault="00F34512" w:rsidP="00F3451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3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597"/>
        <w:gridCol w:w="3685"/>
        <w:gridCol w:w="524"/>
        <w:gridCol w:w="296"/>
        <w:gridCol w:w="296"/>
        <w:gridCol w:w="336"/>
        <w:gridCol w:w="348"/>
        <w:gridCol w:w="296"/>
        <w:gridCol w:w="296"/>
      </w:tblGrid>
      <w:tr w:rsidR="00F34512" w:rsidRPr="00980A09" w:rsidTr="00F34512">
        <w:trPr>
          <w:trHeight w:val="945"/>
        </w:trPr>
        <w:tc>
          <w:tcPr>
            <w:tcW w:w="724" w:type="dxa"/>
            <w:vMerge w:val="restart"/>
            <w:hideMark/>
          </w:tcPr>
          <w:p w:rsidR="00F34512" w:rsidRPr="00980A09" w:rsidRDefault="00F34512" w:rsidP="00D84563">
            <w:pPr>
              <w:jc w:val="center"/>
              <w:rPr>
                <w:bCs/>
                <w:szCs w:val="24"/>
              </w:rPr>
            </w:pPr>
            <w:r w:rsidRPr="00980A09">
              <w:rPr>
                <w:bCs/>
                <w:szCs w:val="24"/>
              </w:rPr>
              <w:t>1.16.</w:t>
            </w:r>
          </w:p>
        </w:tc>
        <w:tc>
          <w:tcPr>
            <w:tcW w:w="2597" w:type="dxa"/>
            <w:vMerge w:val="restart"/>
            <w:hideMark/>
          </w:tcPr>
          <w:p w:rsidR="00F34512" w:rsidRPr="00980A09" w:rsidRDefault="00F34512" w:rsidP="00D84563">
            <w:pPr>
              <w:jc w:val="both"/>
              <w:rPr>
                <w:szCs w:val="24"/>
              </w:rPr>
            </w:pPr>
            <w:r w:rsidRPr="00980A09">
              <w:rPr>
                <w:szCs w:val="24"/>
              </w:rPr>
              <w:t>Капитальный ремонт универсального спортивного комплекса «Олимп», в том числе оказание услуг по техническому обследованию состояния здания</w:t>
            </w:r>
          </w:p>
        </w:tc>
        <w:tc>
          <w:tcPr>
            <w:tcW w:w="3685" w:type="dxa"/>
            <w:shd w:val="clear" w:color="auto" w:fill="auto"/>
            <w:hideMark/>
          </w:tcPr>
          <w:p w:rsidR="00F34512" w:rsidRPr="00980A09" w:rsidRDefault="00F34512" w:rsidP="00034A15">
            <w:pPr>
              <w:jc w:val="both"/>
              <w:rPr>
                <w:szCs w:val="24"/>
              </w:rPr>
            </w:pPr>
            <w:r w:rsidRPr="00980A09">
              <w:rPr>
                <w:szCs w:val="24"/>
              </w:rPr>
              <w:t>Количество проектов спортивных сооружений получивших положительное заключение государственной экспертизы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ед.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348" w:type="dxa"/>
            <w:vAlign w:val="center"/>
          </w:tcPr>
          <w:p w:rsidR="00F34512" w:rsidRPr="00980A09" w:rsidRDefault="00F34512" w:rsidP="007C2050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</w:tr>
      <w:tr w:rsidR="00F34512" w:rsidRPr="00980A09" w:rsidTr="00F34512">
        <w:trPr>
          <w:trHeight w:val="945"/>
        </w:trPr>
        <w:tc>
          <w:tcPr>
            <w:tcW w:w="724" w:type="dxa"/>
            <w:vMerge/>
            <w:vAlign w:val="center"/>
          </w:tcPr>
          <w:p w:rsidR="00F34512" w:rsidRPr="00980A09" w:rsidRDefault="00F34512" w:rsidP="00D84563">
            <w:pPr>
              <w:rPr>
                <w:bCs/>
                <w:szCs w:val="24"/>
              </w:rPr>
            </w:pPr>
          </w:p>
        </w:tc>
        <w:tc>
          <w:tcPr>
            <w:tcW w:w="2597" w:type="dxa"/>
            <w:vMerge/>
            <w:vAlign w:val="center"/>
          </w:tcPr>
          <w:p w:rsidR="00F34512" w:rsidRPr="00980A09" w:rsidRDefault="00F34512" w:rsidP="00D84563">
            <w:pPr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34512" w:rsidRPr="00980A09" w:rsidRDefault="00F34512" w:rsidP="00034A15">
            <w:pPr>
              <w:jc w:val="both"/>
              <w:rPr>
                <w:szCs w:val="24"/>
              </w:rPr>
            </w:pPr>
            <w:r w:rsidRPr="00980A09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%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348" w:type="dxa"/>
            <w:vAlign w:val="center"/>
          </w:tcPr>
          <w:p w:rsidR="00F34512" w:rsidRPr="00980A09" w:rsidRDefault="00F34512" w:rsidP="007C2050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</w:tr>
      <w:tr w:rsidR="00F34512" w:rsidRPr="00980A09" w:rsidTr="00F34512">
        <w:trPr>
          <w:trHeight w:val="945"/>
        </w:trPr>
        <w:tc>
          <w:tcPr>
            <w:tcW w:w="724" w:type="dxa"/>
            <w:vMerge/>
            <w:vAlign w:val="center"/>
          </w:tcPr>
          <w:p w:rsidR="00F34512" w:rsidRPr="00980A09" w:rsidRDefault="00F34512" w:rsidP="00D84563">
            <w:pPr>
              <w:rPr>
                <w:bCs/>
                <w:szCs w:val="24"/>
              </w:rPr>
            </w:pPr>
          </w:p>
        </w:tc>
        <w:tc>
          <w:tcPr>
            <w:tcW w:w="2597" w:type="dxa"/>
            <w:vMerge/>
            <w:vAlign w:val="center"/>
          </w:tcPr>
          <w:p w:rsidR="00F34512" w:rsidRPr="00980A09" w:rsidRDefault="00F34512" w:rsidP="00D84563">
            <w:pPr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34512" w:rsidRPr="00980A09" w:rsidRDefault="00F34512" w:rsidP="00034A15">
            <w:pPr>
              <w:jc w:val="both"/>
              <w:rPr>
                <w:szCs w:val="24"/>
              </w:rPr>
            </w:pPr>
            <w:r w:rsidRPr="00980A09">
              <w:rPr>
                <w:szCs w:val="24"/>
              </w:rPr>
              <w:t>Количество проведенных услуг по техническому обследованию состояния здания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ед.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1</w:t>
            </w:r>
          </w:p>
        </w:tc>
        <w:tc>
          <w:tcPr>
            <w:tcW w:w="348" w:type="dxa"/>
            <w:vAlign w:val="center"/>
          </w:tcPr>
          <w:p w:rsidR="00F34512" w:rsidRPr="00980A09" w:rsidRDefault="00F34512" w:rsidP="007C2050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F34512" w:rsidRPr="00980A09" w:rsidRDefault="00F34512" w:rsidP="00034A15">
            <w:pPr>
              <w:jc w:val="center"/>
              <w:rPr>
                <w:szCs w:val="24"/>
              </w:rPr>
            </w:pPr>
            <w:r w:rsidRPr="00980A09">
              <w:rPr>
                <w:szCs w:val="24"/>
              </w:rPr>
              <w:t>-</w:t>
            </w:r>
          </w:p>
        </w:tc>
      </w:tr>
    </w:tbl>
    <w:p w:rsidR="00F34512" w:rsidRDefault="00F34512" w:rsidP="00F3451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34512" w:rsidRDefault="00F34512" w:rsidP="00F3451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1.2</w:t>
      </w:r>
      <w:r w:rsidR="00BA2ED1">
        <w:rPr>
          <w:sz w:val="28"/>
          <w:szCs w:val="28"/>
        </w:rPr>
        <w:t>6</w:t>
      </w:r>
      <w:r>
        <w:rPr>
          <w:sz w:val="28"/>
          <w:szCs w:val="28"/>
        </w:rPr>
        <w:t>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:rsidR="00F34512" w:rsidRDefault="00F34512" w:rsidP="00F3451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577"/>
        <w:gridCol w:w="3627"/>
        <w:gridCol w:w="523"/>
        <w:gridCol w:w="296"/>
        <w:gridCol w:w="296"/>
        <w:gridCol w:w="336"/>
        <w:gridCol w:w="348"/>
        <w:gridCol w:w="336"/>
        <w:gridCol w:w="336"/>
      </w:tblGrid>
      <w:tr w:rsidR="00BA2ED1" w:rsidRPr="00980A09" w:rsidTr="00BA2ED1">
        <w:trPr>
          <w:trHeight w:val="945"/>
        </w:trPr>
        <w:tc>
          <w:tcPr>
            <w:tcW w:w="723" w:type="dxa"/>
            <w:vMerge w:val="restart"/>
            <w:hideMark/>
          </w:tcPr>
          <w:p w:rsidR="00BA2ED1" w:rsidRPr="00BA2ED1" w:rsidRDefault="00BA2ED1" w:rsidP="00034A15">
            <w:pPr>
              <w:jc w:val="center"/>
              <w:rPr>
                <w:bCs/>
                <w:szCs w:val="24"/>
              </w:rPr>
            </w:pPr>
            <w:r w:rsidRPr="00BA2ED1">
              <w:rPr>
                <w:bCs/>
                <w:szCs w:val="24"/>
              </w:rPr>
              <w:t>1.26.</w:t>
            </w:r>
          </w:p>
        </w:tc>
        <w:tc>
          <w:tcPr>
            <w:tcW w:w="2577" w:type="dxa"/>
            <w:vMerge w:val="restart"/>
            <w:hideMark/>
          </w:tcPr>
          <w:p w:rsidR="00BA2ED1" w:rsidRPr="00BA2ED1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Развитие инфраструктуры муниципальных учреждений отдых</w:t>
            </w:r>
            <w:r w:rsidR="001C777D">
              <w:rPr>
                <w:szCs w:val="24"/>
              </w:rPr>
              <w:t>а и оздоровления детей</w:t>
            </w:r>
            <w:r w:rsidR="001C777D">
              <w:rPr>
                <w:szCs w:val="24"/>
              </w:rPr>
              <w:br/>
            </w:r>
            <w:r w:rsidR="001C777D">
              <w:rPr>
                <w:szCs w:val="24"/>
              </w:rPr>
              <w:br/>
              <w:t>(ГП СО «</w:t>
            </w:r>
            <w:r w:rsidRPr="00BA2ED1">
              <w:rPr>
                <w:szCs w:val="24"/>
              </w:rPr>
              <w:t>Развитие социальной защит</w:t>
            </w:r>
            <w:r w:rsidR="001C777D">
              <w:rPr>
                <w:szCs w:val="24"/>
              </w:rPr>
              <w:t>ы населения в Самарской области»</w:t>
            </w:r>
            <w:r w:rsidRPr="00BA2ED1">
              <w:rPr>
                <w:szCs w:val="24"/>
              </w:rPr>
              <w:t>)</w:t>
            </w:r>
          </w:p>
        </w:tc>
        <w:tc>
          <w:tcPr>
            <w:tcW w:w="3627" w:type="dxa"/>
            <w:shd w:val="clear" w:color="auto" w:fill="auto"/>
            <w:hideMark/>
          </w:tcPr>
          <w:p w:rsidR="00BA2ED1" w:rsidRPr="00BA2ED1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Количество учреждений, оснащенных основными средствами и инвентарем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  <w:tc>
          <w:tcPr>
            <w:tcW w:w="348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</w:tr>
      <w:tr w:rsidR="00BA2ED1" w:rsidRPr="00980A09" w:rsidTr="00BA2ED1">
        <w:trPr>
          <w:trHeight w:val="945"/>
        </w:trPr>
        <w:tc>
          <w:tcPr>
            <w:tcW w:w="723" w:type="dxa"/>
            <w:vMerge/>
            <w:vAlign w:val="center"/>
          </w:tcPr>
          <w:p w:rsidR="00BA2ED1" w:rsidRPr="00980A09" w:rsidRDefault="00BA2ED1" w:rsidP="00034A15">
            <w:pPr>
              <w:rPr>
                <w:bCs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BA2ED1" w:rsidRPr="00980A09" w:rsidRDefault="00BA2ED1" w:rsidP="00034A15">
            <w:pPr>
              <w:rPr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BA2ED1" w:rsidRPr="00980A09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Количество объектов, на которых выполнялись работы по капитальному ремонту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7</w:t>
            </w:r>
          </w:p>
        </w:tc>
        <w:tc>
          <w:tcPr>
            <w:tcW w:w="348" w:type="dxa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2</w:t>
            </w:r>
          </w:p>
        </w:tc>
      </w:tr>
      <w:tr w:rsidR="00BA2ED1" w:rsidRPr="00980A09" w:rsidTr="00BA2ED1">
        <w:trPr>
          <w:trHeight w:val="945"/>
        </w:trPr>
        <w:tc>
          <w:tcPr>
            <w:tcW w:w="723" w:type="dxa"/>
            <w:vMerge/>
            <w:vAlign w:val="center"/>
          </w:tcPr>
          <w:p w:rsidR="00BA2ED1" w:rsidRPr="00980A09" w:rsidRDefault="00BA2ED1" w:rsidP="00034A15">
            <w:pPr>
              <w:rPr>
                <w:bCs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BA2ED1" w:rsidRPr="00980A09" w:rsidRDefault="00BA2ED1" w:rsidP="00034A15">
            <w:pPr>
              <w:rPr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BA2ED1" w:rsidRPr="00980A09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Количество объектов, на которых выполнена услуга по строительному контролю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6</w:t>
            </w:r>
          </w:p>
        </w:tc>
        <w:tc>
          <w:tcPr>
            <w:tcW w:w="348" w:type="dxa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2ED1" w:rsidRPr="00980A09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</w:tr>
    </w:tbl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1.29.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400"/>
        <w:gridCol w:w="1842"/>
        <w:gridCol w:w="558"/>
        <w:gridCol w:w="296"/>
        <w:gridCol w:w="296"/>
        <w:gridCol w:w="336"/>
        <w:gridCol w:w="296"/>
        <w:gridCol w:w="335"/>
        <w:gridCol w:w="296"/>
      </w:tblGrid>
      <w:tr w:rsidR="00BA2ED1" w:rsidRPr="00980A09" w:rsidTr="00BA2ED1">
        <w:trPr>
          <w:trHeight w:val="945"/>
        </w:trPr>
        <w:tc>
          <w:tcPr>
            <w:tcW w:w="718" w:type="dxa"/>
          </w:tcPr>
          <w:p w:rsidR="00BA2ED1" w:rsidRPr="00BA2ED1" w:rsidRDefault="00BA2ED1" w:rsidP="00034A15">
            <w:pPr>
              <w:jc w:val="center"/>
              <w:rPr>
                <w:bCs/>
                <w:szCs w:val="24"/>
              </w:rPr>
            </w:pPr>
            <w:r w:rsidRPr="00BA2ED1">
              <w:rPr>
                <w:bCs/>
                <w:szCs w:val="24"/>
              </w:rPr>
              <w:t>1.29.</w:t>
            </w:r>
          </w:p>
        </w:tc>
        <w:tc>
          <w:tcPr>
            <w:tcW w:w="4400" w:type="dxa"/>
          </w:tcPr>
          <w:p w:rsidR="00BA2ED1" w:rsidRPr="00BA2ED1" w:rsidRDefault="00BA2ED1" w:rsidP="001C777D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Предоставление  субсидии на реализацию общественных проектов в рамках государственн</w:t>
            </w:r>
            <w:r w:rsidR="001C777D">
              <w:rPr>
                <w:szCs w:val="24"/>
              </w:rPr>
              <w:t>ой программы Самарской области «</w:t>
            </w:r>
            <w:r w:rsidRPr="00BA2ED1">
              <w:rPr>
                <w:szCs w:val="24"/>
              </w:rPr>
              <w:t xml:space="preserve">Поддержка инициатив  населения муниципальных </w:t>
            </w:r>
            <w:r w:rsidR="001C777D">
              <w:rPr>
                <w:szCs w:val="24"/>
              </w:rPr>
              <w:t xml:space="preserve">образований в Самарской области» </w:t>
            </w:r>
            <w:r w:rsidR="001C777D">
              <w:rPr>
                <w:szCs w:val="24"/>
              </w:rPr>
              <w:br/>
            </w:r>
            <w:r w:rsidR="001C777D">
              <w:rPr>
                <w:szCs w:val="24"/>
              </w:rPr>
              <w:br/>
              <w:t>(ГП СО «</w:t>
            </w:r>
            <w:r w:rsidRPr="00BA2ED1">
              <w:rPr>
                <w:szCs w:val="24"/>
              </w:rPr>
              <w:t>Поддержка инициатив  населения муниципальных образований в Самарской области</w:t>
            </w:r>
            <w:r w:rsidR="001C777D">
              <w:rPr>
                <w:szCs w:val="24"/>
              </w:rPr>
              <w:t>»</w:t>
            </w:r>
            <w:r w:rsidRPr="00BA2ED1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BA2ED1" w:rsidRPr="00BA2ED1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Количество реализованных общественных проектов</w:t>
            </w:r>
          </w:p>
        </w:tc>
        <w:tc>
          <w:tcPr>
            <w:tcW w:w="558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2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5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</w:tr>
    </w:tbl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>
        <w:rPr>
          <w:sz w:val="28"/>
          <w:szCs w:val="28"/>
        </w:rPr>
        <w:t>4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1.31.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4262"/>
        <w:gridCol w:w="1984"/>
        <w:gridCol w:w="505"/>
        <w:gridCol w:w="296"/>
        <w:gridCol w:w="296"/>
        <w:gridCol w:w="356"/>
        <w:gridCol w:w="336"/>
        <w:gridCol w:w="296"/>
        <w:gridCol w:w="296"/>
      </w:tblGrid>
      <w:tr w:rsidR="00BA2ED1" w:rsidRPr="00980A09" w:rsidTr="00BA2ED1">
        <w:trPr>
          <w:trHeight w:val="70"/>
        </w:trPr>
        <w:tc>
          <w:tcPr>
            <w:tcW w:w="715" w:type="dxa"/>
          </w:tcPr>
          <w:p w:rsidR="00BA2ED1" w:rsidRPr="00BA2ED1" w:rsidRDefault="00BA2ED1" w:rsidP="00034A15">
            <w:pPr>
              <w:jc w:val="center"/>
              <w:rPr>
                <w:bCs/>
                <w:szCs w:val="24"/>
              </w:rPr>
            </w:pPr>
            <w:r w:rsidRPr="00BA2ED1">
              <w:rPr>
                <w:bCs/>
                <w:szCs w:val="24"/>
              </w:rPr>
              <w:t>1.31.</w:t>
            </w:r>
          </w:p>
        </w:tc>
        <w:tc>
          <w:tcPr>
            <w:tcW w:w="4262" w:type="dxa"/>
          </w:tcPr>
          <w:p w:rsidR="00BA2ED1" w:rsidRPr="00BA2ED1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Приобретение основных средств и инвентаря для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1984" w:type="dxa"/>
          </w:tcPr>
          <w:p w:rsidR="00BA2ED1" w:rsidRPr="00BA2ED1" w:rsidRDefault="00BA2ED1" w:rsidP="00034A15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Количество учреждений, оснащенных основными средствами и инвентарем</w:t>
            </w:r>
          </w:p>
        </w:tc>
        <w:tc>
          <w:tcPr>
            <w:tcW w:w="505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5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  <w:tc>
          <w:tcPr>
            <w:tcW w:w="33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2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A2ED1" w:rsidRPr="00BA2ED1" w:rsidRDefault="00BA2ED1" w:rsidP="00034A15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</w:tr>
    </w:tbl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4.5.</w:t>
      </w:r>
      <w:r w:rsidRPr="003D6C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50DF1">
        <w:rPr>
          <w:sz w:val="28"/>
          <w:szCs w:val="28"/>
        </w:rPr>
        <w:t>адач</w:t>
      </w:r>
      <w:r>
        <w:rPr>
          <w:sz w:val="28"/>
          <w:szCs w:val="28"/>
        </w:rPr>
        <w:t>у</w:t>
      </w:r>
      <w:r w:rsidRPr="00B50D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1 </w:t>
      </w:r>
      <w:r>
        <w:rPr>
          <w:sz w:val="28"/>
          <w:szCs w:val="28"/>
        </w:rPr>
        <w:t>дополнить пунктом 1.32</w:t>
      </w:r>
      <w:r w:rsidR="00927084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</w:t>
      </w:r>
      <w:r w:rsidRPr="00B50DF1">
        <w:rPr>
          <w:sz w:val="28"/>
          <w:szCs w:val="28"/>
        </w:rPr>
        <w:t>:</w:t>
      </w:r>
    </w:p>
    <w:p w:rsidR="00BA2ED1" w:rsidRDefault="00BA2ED1" w:rsidP="00BA2ED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420"/>
        <w:gridCol w:w="2693"/>
        <w:gridCol w:w="553"/>
        <w:gridCol w:w="298"/>
        <w:gridCol w:w="296"/>
        <w:gridCol w:w="296"/>
        <w:gridCol w:w="296"/>
        <w:gridCol w:w="296"/>
        <w:gridCol w:w="375"/>
      </w:tblGrid>
      <w:tr w:rsidR="00DE11C3" w:rsidRPr="00DE11C3" w:rsidTr="00DE11C3">
        <w:trPr>
          <w:trHeight w:val="840"/>
        </w:trPr>
        <w:tc>
          <w:tcPr>
            <w:tcW w:w="712" w:type="dxa"/>
            <w:vMerge w:val="restart"/>
          </w:tcPr>
          <w:p w:rsidR="00DE11C3" w:rsidRPr="00BA2ED1" w:rsidRDefault="00DE11C3" w:rsidP="00224966">
            <w:pPr>
              <w:jc w:val="center"/>
              <w:rPr>
                <w:bCs/>
                <w:szCs w:val="24"/>
              </w:rPr>
            </w:pPr>
            <w:r w:rsidRPr="00BA2ED1">
              <w:rPr>
                <w:bCs/>
                <w:szCs w:val="24"/>
              </w:rPr>
              <w:t>1.32.</w:t>
            </w:r>
          </w:p>
        </w:tc>
        <w:tc>
          <w:tcPr>
            <w:tcW w:w="3420" w:type="dxa"/>
            <w:vMerge w:val="restart"/>
          </w:tcPr>
          <w:p w:rsidR="00DE11C3" w:rsidRPr="00BA2ED1" w:rsidRDefault="00DE11C3" w:rsidP="00224966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Создание некапитальных объектов (быстровозводимых конструкций) отдыха и оздоровления детей, оснащение некапитальных объектов (быстровозводимых конструкций</w:t>
            </w:r>
            <w:r w:rsidR="001C777D">
              <w:rPr>
                <w:szCs w:val="24"/>
              </w:rPr>
              <w:t>) основными средствами</w:t>
            </w:r>
            <w:r w:rsidR="001C777D">
              <w:rPr>
                <w:szCs w:val="24"/>
              </w:rPr>
              <w:br/>
            </w:r>
            <w:r w:rsidR="001C777D">
              <w:rPr>
                <w:szCs w:val="24"/>
              </w:rPr>
              <w:br/>
              <w:t>(ГП СО «</w:t>
            </w:r>
            <w:r w:rsidRPr="00BA2ED1">
              <w:rPr>
                <w:szCs w:val="24"/>
              </w:rPr>
              <w:t>Развитие социальной защит</w:t>
            </w:r>
            <w:r w:rsidR="001C777D">
              <w:rPr>
                <w:szCs w:val="24"/>
              </w:rPr>
              <w:t>ы населения в Самарской области»</w:t>
            </w:r>
            <w:r>
              <w:rPr>
                <w:szCs w:val="24"/>
              </w:rPr>
              <w:t>)</w:t>
            </w:r>
          </w:p>
        </w:tc>
        <w:tc>
          <w:tcPr>
            <w:tcW w:w="2693" w:type="dxa"/>
          </w:tcPr>
          <w:p w:rsidR="00DE11C3" w:rsidRPr="00BA2ED1" w:rsidRDefault="00DE11C3" w:rsidP="00224966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 xml:space="preserve">Количество созданных некапитальных объектов (быстровозводимых конструкций) </w:t>
            </w:r>
          </w:p>
        </w:tc>
        <w:tc>
          <w:tcPr>
            <w:tcW w:w="553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75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</w:tr>
      <w:tr w:rsidR="00DE11C3" w:rsidRPr="00DE11C3" w:rsidTr="00DE11C3">
        <w:trPr>
          <w:trHeight w:val="840"/>
        </w:trPr>
        <w:tc>
          <w:tcPr>
            <w:tcW w:w="712" w:type="dxa"/>
            <w:vMerge/>
            <w:vAlign w:val="center"/>
          </w:tcPr>
          <w:p w:rsidR="00DE11C3" w:rsidRPr="00BA2ED1" w:rsidRDefault="00DE11C3" w:rsidP="00224966">
            <w:pPr>
              <w:rPr>
                <w:bCs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DE11C3" w:rsidRPr="00BA2ED1" w:rsidRDefault="00DE11C3" w:rsidP="00224966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DE11C3" w:rsidRPr="00BA2ED1" w:rsidRDefault="00DE11C3" w:rsidP="00224966">
            <w:pPr>
              <w:jc w:val="both"/>
              <w:rPr>
                <w:szCs w:val="24"/>
              </w:rPr>
            </w:pPr>
            <w:r w:rsidRPr="00BA2ED1">
              <w:rPr>
                <w:szCs w:val="24"/>
              </w:rPr>
              <w:t>Количество оснащенных</w:t>
            </w:r>
            <w:r w:rsidRPr="00DE11C3">
              <w:rPr>
                <w:szCs w:val="24"/>
              </w:rPr>
              <w:t xml:space="preserve"> </w:t>
            </w:r>
            <w:r w:rsidRPr="00BA2ED1">
              <w:rPr>
                <w:szCs w:val="24"/>
              </w:rPr>
              <w:t xml:space="preserve">основными средствами некапитальных объектов (быстровозводимых конструкций) </w:t>
            </w:r>
          </w:p>
        </w:tc>
        <w:tc>
          <w:tcPr>
            <w:tcW w:w="553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75" w:type="dxa"/>
            <w:vAlign w:val="center"/>
          </w:tcPr>
          <w:p w:rsidR="00DE11C3" w:rsidRPr="00BA2ED1" w:rsidRDefault="00DE11C3" w:rsidP="007E132D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1</w:t>
            </w:r>
          </w:p>
        </w:tc>
      </w:tr>
    </w:tbl>
    <w:p w:rsidR="00BA2ED1" w:rsidRDefault="00BA2ED1" w:rsidP="00DE11C3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11C3" w:rsidRDefault="00DE11C3" w:rsidP="00DE11C3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>
        <w:rPr>
          <w:sz w:val="28"/>
          <w:szCs w:val="28"/>
        </w:rPr>
        <w:t>6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3.1.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3</w:t>
      </w:r>
      <w:r w:rsidRPr="00B50DF1">
        <w:rPr>
          <w:sz w:val="28"/>
          <w:szCs w:val="28"/>
        </w:rPr>
        <w:t xml:space="preserve"> изложить в следующей редакции:</w:t>
      </w:r>
    </w:p>
    <w:p w:rsidR="00DE11C3" w:rsidRDefault="00DE11C3" w:rsidP="00DE11C3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969"/>
        <w:gridCol w:w="2410"/>
        <w:gridCol w:w="567"/>
        <w:gridCol w:w="284"/>
        <w:gridCol w:w="283"/>
        <w:gridCol w:w="283"/>
        <w:gridCol w:w="284"/>
        <w:gridCol w:w="283"/>
        <w:gridCol w:w="283"/>
      </w:tblGrid>
      <w:tr w:rsidR="00927084" w:rsidRPr="00927084" w:rsidTr="00927084">
        <w:trPr>
          <w:cantSplit/>
          <w:trHeight w:val="1134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927084" w:rsidRPr="00DE11C3" w:rsidRDefault="00927084" w:rsidP="00034A15">
            <w:pPr>
              <w:jc w:val="center"/>
              <w:rPr>
                <w:bCs/>
                <w:sz w:val="20"/>
                <w:szCs w:val="24"/>
              </w:rPr>
            </w:pPr>
            <w:r w:rsidRPr="00DE11C3">
              <w:rPr>
                <w:bCs/>
                <w:sz w:val="20"/>
                <w:szCs w:val="24"/>
              </w:rPr>
              <w:t>3.1.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27084" w:rsidRPr="00DE11C3" w:rsidRDefault="00927084" w:rsidP="001C777D">
            <w:pPr>
              <w:jc w:val="both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Выполнение муниципального задания муници</w:t>
            </w:r>
            <w:r w:rsidR="001C777D">
              <w:rPr>
                <w:sz w:val="20"/>
                <w:szCs w:val="24"/>
              </w:rPr>
              <w:t>пальными учреждениями  отрасли «</w:t>
            </w:r>
            <w:r w:rsidRPr="00DE11C3">
              <w:rPr>
                <w:sz w:val="20"/>
                <w:szCs w:val="24"/>
              </w:rPr>
              <w:t>Физическая культура и спорт</w:t>
            </w:r>
            <w:r w:rsidR="001C777D">
              <w:rPr>
                <w:sz w:val="20"/>
                <w:szCs w:val="24"/>
              </w:rPr>
              <w:t>»</w:t>
            </w:r>
            <w:r w:rsidRPr="00DE11C3">
              <w:rPr>
                <w:sz w:val="20"/>
                <w:szCs w:val="24"/>
              </w:rPr>
              <w:t xml:space="preserve"> на оказание </w:t>
            </w:r>
            <w:r w:rsidR="001C777D">
              <w:rPr>
                <w:sz w:val="20"/>
                <w:szCs w:val="24"/>
              </w:rPr>
              <w:t>муниципальных услуг (2022 год: «</w:t>
            </w:r>
            <w:r w:rsidRPr="00DE11C3">
              <w:rPr>
                <w:sz w:val="20"/>
                <w:szCs w:val="24"/>
              </w:rPr>
              <w:t>Услуги по спортивной подготовке по олимпийским видам спорта, по спортивной подготовке по неолимпийским видам спорта, по спортивной подготовке по спорту глухих, по спортивной подготовке по спорту лиц с поражением ОДА, по спортивной подготовке по спорту лиц с интеллектуальными нарушениями, по спортивной подготовке по спорту слепых и реализации дополнительных предпрофессиональных программ в области физической культуры и спорта</w:t>
            </w:r>
            <w:r w:rsidR="001C777D">
              <w:rPr>
                <w:sz w:val="20"/>
                <w:szCs w:val="24"/>
              </w:rPr>
              <w:t>», 2023-2026 годы: «</w:t>
            </w:r>
            <w:r w:rsidRPr="00DE11C3">
              <w:rPr>
                <w:sz w:val="20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="001C777D">
              <w:rPr>
                <w:sz w:val="20"/>
                <w:szCs w:val="24"/>
              </w:rPr>
              <w:t>»</w:t>
            </w:r>
            <w:r w:rsidRPr="00DE11C3">
              <w:rPr>
                <w:sz w:val="20"/>
                <w:szCs w:val="24"/>
              </w:rPr>
              <w:t xml:space="preserve">, </w:t>
            </w:r>
            <w:r w:rsidR="001C777D">
              <w:rPr>
                <w:sz w:val="20"/>
                <w:szCs w:val="24"/>
              </w:rPr>
              <w:t>«</w:t>
            </w:r>
            <w:r w:rsidRPr="00DE11C3">
              <w:rPr>
                <w:sz w:val="20"/>
                <w:szCs w:val="24"/>
              </w:rPr>
              <w:t>Реализация дополнительных образовательных программ спортивной подготовки по неолимпийским видам спорта</w:t>
            </w:r>
            <w:r w:rsidR="001C777D">
              <w:rPr>
                <w:sz w:val="20"/>
                <w:szCs w:val="24"/>
              </w:rPr>
              <w:t>», «</w:t>
            </w:r>
            <w:r w:rsidRPr="00DE11C3">
              <w:rPr>
                <w:sz w:val="20"/>
                <w:szCs w:val="24"/>
              </w:rPr>
              <w:t>Реализация дополнительных образовательных программ спортивной подготовки по спорту слепых</w:t>
            </w:r>
            <w:r w:rsidR="001C777D">
              <w:rPr>
                <w:sz w:val="20"/>
                <w:szCs w:val="24"/>
              </w:rPr>
              <w:t>», «</w:t>
            </w:r>
            <w:r w:rsidRPr="00DE11C3">
              <w:rPr>
                <w:sz w:val="20"/>
                <w:szCs w:val="24"/>
              </w:rPr>
              <w:t>Реализация дополнительных образовательных программ спортивной подготовки по спорту лиц с поражением ОДА</w:t>
            </w:r>
            <w:r w:rsidR="001C777D">
              <w:rPr>
                <w:sz w:val="20"/>
                <w:szCs w:val="24"/>
              </w:rPr>
              <w:t>», «</w:t>
            </w:r>
            <w:r w:rsidRPr="00DE11C3">
              <w:rPr>
                <w:sz w:val="20"/>
                <w:szCs w:val="24"/>
              </w:rPr>
              <w:t>Реализация дополнительных образовательных программ спортивной подготовки по спорту лиц с интеллектуальными нарушениями</w:t>
            </w:r>
            <w:r w:rsidR="001C777D">
              <w:rPr>
                <w:sz w:val="20"/>
                <w:szCs w:val="24"/>
              </w:rPr>
              <w:t>», «</w:t>
            </w:r>
            <w:r w:rsidRPr="00DE11C3">
              <w:rPr>
                <w:sz w:val="20"/>
                <w:szCs w:val="24"/>
              </w:rPr>
              <w:t>Реализация дополнительных образовательных программ спортивной подготовки по спорту глухих</w:t>
            </w:r>
            <w:r w:rsidR="001C777D">
              <w:rPr>
                <w:sz w:val="20"/>
                <w:szCs w:val="24"/>
              </w:rPr>
              <w:t>»</w:t>
            </w:r>
            <w:r w:rsidRPr="00DE11C3">
              <w:rPr>
                <w:sz w:val="20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927084" w:rsidRPr="00DE11C3" w:rsidRDefault="00927084" w:rsidP="00034A15">
            <w:pPr>
              <w:jc w:val="both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Количество муниципальных бюджетных учреждений, оказывающих муниципальные услуги</w:t>
            </w:r>
          </w:p>
        </w:tc>
        <w:tc>
          <w:tcPr>
            <w:tcW w:w="567" w:type="dxa"/>
            <w:vAlign w:val="center"/>
          </w:tcPr>
          <w:p w:rsidR="00927084" w:rsidRPr="00DE11C3" w:rsidRDefault="00927084" w:rsidP="00034A15">
            <w:pPr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ед.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</w:t>
            </w:r>
          </w:p>
        </w:tc>
      </w:tr>
      <w:tr w:rsidR="00927084" w:rsidRPr="00927084" w:rsidTr="00927084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noWrap/>
            <w:hideMark/>
          </w:tcPr>
          <w:p w:rsidR="00927084" w:rsidRPr="00927084" w:rsidRDefault="00927084" w:rsidP="00034A1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927084" w:rsidRPr="00927084" w:rsidRDefault="00927084" w:rsidP="00034A15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27084" w:rsidRPr="00DE11C3" w:rsidRDefault="00927084" w:rsidP="00034A15">
            <w:pPr>
              <w:jc w:val="both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Количество занимающихся (обучающихся) в муниципальных бюджетных учреждениях</w:t>
            </w:r>
          </w:p>
        </w:tc>
        <w:tc>
          <w:tcPr>
            <w:tcW w:w="567" w:type="dxa"/>
            <w:vAlign w:val="center"/>
          </w:tcPr>
          <w:p w:rsidR="00927084" w:rsidRPr="00DE11C3" w:rsidRDefault="00927084" w:rsidP="00034A15">
            <w:pPr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чел.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14 951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14 951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14 951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14 951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14 951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14 951</w:t>
            </w:r>
          </w:p>
        </w:tc>
      </w:tr>
      <w:tr w:rsidR="00927084" w:rsidRPr="00927084" w:rsidTr="00927084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noWrap/>
            <w:hideMark/>
          </w:tcPr>
          <w:p w:rsidR="00927084" w:rsidRPr="00927084" w:rsidRDefault="00927084" w:rsidP="00034A1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927084" w:rsidRPr="00927084" w:rsidRDefault="00927084" w:rsidP="00034A15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27084" w:rsidRPr="00DE11C3" w:rsidRDefault="00927084" w:rsidP="00034A15">
            <w:pPr>
              <w:jc w:val="both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Доля лиц освоивших программу по спортивной подготовке по видам спорта</w:t>
            </w:r>
          </w:p>
        </w:tc>
        <w:tc>
          <w:tcPr>
            <w:tcW w:w="567" w:type="dxa"/>
            <w:vAlign w:val="center"/>
          </w:tcPr>
          <w:p w:rsidR="00927084" w:rsidRPr="00DE11C3" w:rsidRDefault="00927084" w:rsidP="00034A15">
            <w:pPr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%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85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85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-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-</w:t>
            </w:r>
          </w:p>
        </w:tc>
      </w:tr>
      <w:tr w:rsidR="00927084" w:rsidRPr="00927084" w:rsidTr="00927084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noWrap/>
            <w:hideMark/>
          </w:tcPr>
          <w:p w:rsidR="00927084" w:rsidRPr="00927084" w:rsidRDefault="00927084" w:rsidP="00034A1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927084" w:rsidRPr="00927084" w:rsidRDefault="00927084" w:rsidP="00034A15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27084" w:rsidRPr="00DE11C3" w:rsidRDefault="00927084" w:rsidP="00034A15">
            <w:pPr>
              <w:jc w:val="both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 xml:space="preserve">Число лиц, прошедших спортивную подготовку на этапе спортивной подготовки и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</w:tc>
        <w:tc>
          <w:tcPr>
            <w:tcW w:w="567" w:type="dxa"/>
            <w:vAlign w:val="center"/>
          </w:tcPr>
          <w:p w:rsidR="00927084" w:rsidRPr="00DE11C3" w:rsidRDefault="00927084" w:rsidP="00034A15">
            <w:pPr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чел.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11 517</w:t>
            </w:r>
          </w:p>
        </w:tc>
        <w:tc>
          <w:tcPr>
            <w:tcW w:w="284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11 522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11 522</w:t>
            </w:r>
          </w:p>
        </w:tc>
        <w:tc>
          <w:tcPr>
            <w:tcW w:w="283" w:type="dxa"/>
            <w:textDirection w:val="btLr"/>
            <w:vAlign w:val="center"/>
          </w:tcPr>
          <w:p w:rsidR="00927084" w:rsidRPr="00DE11C3" w:rsidRDefault="00927084" w:rsidP="00034A15">
            <w:pPr>
              <w:ind w:left="113" w:right="113"/>
              <w:jc w:val="center"/>
              <w:rPr>
                <w:sz w:val="20"/>
                <w:szCs w:val="24"/>
              </w:rPr>
            </w:pPr>
            <w:r w:rsidRPr="00DE11C3">
              <w:rPr>
                <w:sz w:val="20"/>
                <w:szCs w:val="24"/>
              </w:rPr>
              <w:t>11 522</w:t>
            </w:r>
          </w:p>
        </w:tc>
      </w:tr>
    </w:tbl>
    <w:p w:rsidR="00927084" w:rsidRDefault="00927084" w:rsidP="00927084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27084" w:rsidRDefault="00927084" w:rsidP="00927084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>
        <w:rPr>
          <w:sz w:val="28"/>
          <w:szCs w:val="28"/>
        </w:rPr>
        <w:t>7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3.9.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3</w:t>
      </w:r>
      <w:r w:rsidRPr="00B50DF1">
        <w:rPr>
          <w:sz w:val="28"/>
          <w:szCs w:val="28"/>
        </w:rPr>
        <w:t xml:space="preserve"> изложить в следующей редакции:</w:t>
      </w:r>
    </w:p>
    <w:p w:rsidR="00927084" w:rsidRDefault="00927084" w:rsidP="00927084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927084" w:rsidRDefault="00927084" w:rsidP="00927084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4262"/>
        <w:gridCol w:w="1984"/>
        <w:gridCol w:w="505"/>
        <w:gridCol w:w="296"/>
        <w:gridCol w:w="296"/>
        <w:gridCol w:w="356"/>
        <w:gridCol w:w="336"/>
        <w:gridCol w:w="296"/>
        <w:gridCol w:w="296"/>
      </w:tblGrid>
      <w:tr w:rsidR="00927084" w:rsidRPr="00BA2ED1" w:rsidTr="00034A15">
        <w:trPr>
          <w:trHeight w:val="70"/>
        </w:trPr>
        <w:tc>
          <w:tcPr>
            <w:tcW w:w="715" w:type="dxa"/>
          </w:tcPr>
          <w:p w:rsidR="00927084" w:rsidRPr="00927084" w:rsidRDefault="00927084" w:rsidP="00034A15">
            <w:pPr>
              <w:jc w:val="center"/>
              <w:rPr>
                <w:bCs/>
                <w:szCs w:val="24"/>
              </w:rPr>
            </w:pPr>
            <w:r w:rsidRPr="00927084">
              <w:rPr>
                <w:bCs/>
                <w:szCs w:val="24"/>
              </w:rPr>
              <w:t>3.9.</w:t>
            </w:r>
          </w:p>
        </w:tc>
        <w:tc>
          <w:tcPr>
            <w:tcW w:w="4262" w:type="dxa"/>
          </w:tcPr>
          <w:p w:rsidR="00927084" w:rsidRPr="00927084" w:rsidRDefault="00927084" w:rsidP="001C777D">
            <w:pPr>
              <w:jc w:val="both"/>
              <w:rPr>
                <w:szCs w:val="24"/>
              </w:rPr>
            </w:pPr>
            <w:r w:rsidRPr="00927084">
              <w:rPr>
                <w:szCs w:val="24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</w:t>
            </w:r>
            <w:r w:rsidR="001C777D">
              <w:rPr>
                <w:szCs w:val="24"/>
              </w:rPr>
              <w:t xml:space="preserve"> в нормативное состояние</w:t>
            </w:r>
            <w:r w:rsidR="001C777D">
              <w:rPr>
                <w:szCs w:val="24"/>
              </w:rPr>
              <w:br/>
            </w:r>
            <w:r w:rsidR="001C777D">
              <w:rPr>
                <w:szCs w:val="24"/>
              </w:rPr>
              <w:br/>
              <w:t>(ФП  «</w:t>
            </w:r>
            <w:r w:rsidRPr="00927084">
              <w:rPr>
                <w:szCs w:val="24"/>
              </w:rPr>
              <w:t>Спорт - норма жизни</w:t>
            </w:r>
            <w:r w:rsidR="001C777D">
              <w:rPr>
                <w:szCs w:val="24"/>
              </w:rPr>
              <w:t>» НП  «Демография», ГП СО  «</w:t>
            </w:r>
            <w:r w:rsidRPr="00927084">
              <w:rPr>
                <w:szCs w:val="24"/>
              </w:rPr>
              <w:t>Развитие физической культуры и спорта в Самарской области</w:t>
            </w:r>
            <w:r w:rsidR="001C777D">
              <w:rPr>
                <w:szCs w:val="24"/>
              </w:rPr>
              <w:t>»</w:t>
            </w:r>
            <w:r w:rsidRPr="00927084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927084" w:rsidRPr="00927084" w:rsidRDefault="00927084" w:rsidP="00034A15">
            <w:pPr>
              <w:jc w:val="both"/>
              <w:rPr>
                <w:szCs w:val="24"/>
              </w:rPr>
            </w:pPr>
            <w:r w:rsidRPr="00927084">
              <w:rPr>
                <w:szCs w:val="24"/>
              </w:rPr>
              <w:t>Количество муниципальных бюджетных учреждений, обеспеченных спортивным оборудованием и инвентарем</w:t>
            </w:r>
          </w:p>
        </w:tc>
        <w:tc>
          <w:tcPr>
            <w:tcW w:w="505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ед.</w:t>
            </w:r>
          </w:p>
        </w:tc>
        <w:tc>
          <w:tcPr>
            <w:tcW w:w="296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-</w:t>
            </w:r>
          </w:p>
        </w:tc>
        <w:tc>
          <w:tcPr>
            <w:tcW w:w="356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3</w:t>
            </w:r>
          </w:p>
        </w:tc>
        <w:tc>
          <w:tcPr>
            <w:tcW w:w="336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3</w:t>
            </w:r>
          </w:p>
        </w:tc>
        <w:tc>
          <w:tcPr>
            <w:tcW w:w="296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927084" w:rsidRPr="00927084" w:rsidRDefault="00927084" w:rsidP="00034A15">
            <w:pPr>
              <w:jc w:val="center"/>
              <w:rPr>
                <w:szCs w:val="24"/>
              </w:rPr>
            </w:pPr>
            <w:r w:rsidRPr="00927084">
              <w:rPr>
                <w:szCs w:val="24"/>
              </w:rPr>
              <w:t>-</w:t>
            </w:r>
          </w:p>
        </w:tc>
      </w:tr>
    </w:tbl>
    <w:p w:rsidR="00927084" w:rsidRDefault="00927084" w:rsidP="009270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4F1B" w:rsidRPr="00B50DF1" w:rsidRDefault="006A4F1B" w:rsidP="006A4F1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0DF1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6A4F1B" w:rsidRDefault="006A4F1B" w:rsidP="006A4F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A4F1B" w:rsidRPr="00B50DF1" w:rsidRDefault="006A4F1B" w:rsidP="006A4F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Баннову Ю.Е.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1C777D" w:rsidRDefault="001C777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9"/>
      <w:headerReference w:type="default" r:id="rId10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38" w:rsidRDefault="00345338">
      <w:r>
        <w:separator/>
      </w:r>
    </w:p>
  </w:endnote>
  <w:endnote w:type="continuationSeparator" w:id="1">
    <w:p w:rsidR="00345338" w:rsidRDefault="0034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38" w:rsidRDefault="00345338">
      <w:r>
        <w:separator/>
      </w:r>
    </w:p>
  </w:footnote>
  <w:footnote w:type="continuationSeparator" w:id="1">
    <w:p w:rsidR="00345338" w:rsidRDefault="0034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4C" w:rsidRDefault="009C7BA5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64C">
      <w:rPr>
        <w:rStyle w:val="a5"/>
        <w:noProof/>
      </w:rPr>
      <w:t>2</w:t>
    </w:r>
    <w:r>
      <w:rPr>
        <w:rStyle w:val="a5"/>
      </w:rPr>
      <w:fldChar w:fldCharType="end"/>
    </w:r>
  </w:p>
  <w:p w:rsidR="0033464C" w:rsidRDefault="0033464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4C" w:rsidRDefault="009C7BA5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77D">
      <w:rPr>
        <w:rStyle w:val="a5"/>
        <w:noProof/>
      </w:rPr>
      <w:t>6</w:t>
    </w:r>
    <w:r>
      <w:rPr>
        <w:rStyle w:val="a5"/>
      </w:rPr>
      <w:fldChar w:fldCharType="end"/>
    </w:r>
  </w:p>
  <w:p w:rsidR="0033464C" w:rsidRDefault="0033464C" w:rsidP="002F7125">
    <w:pPr>
      <w:pStyle w:val="a3"/>
      <w:ind w:right="360"/>
    </w:pPr>
  </w:p>
  <w:p w:rsidR="0033464C" w:rsidRDefault="0033464C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3C1A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084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30FF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359A"/>
    <w:rsid w:val="00E844E2"/>
    <w:rsid w:val="00E85615"/>
    <w:rsid w:val="00E867D6"/>
    <w:rsid w:val="00E91B63"/>
    <w:rsid w:val="00E92AE4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6429-68B9-4147-8806-99500577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29</cp:revision>
  <cp:lastPrinted>2024-02-29T05:33:00Z</cp:lastPrinted>
  <dcterms:created xsi:type="dcterms:W3CDTF">2023-11-03T11:04:00Z</dcterms:created>
  <dcterms:modified xsi:type="dcterms:W3CDTF">2024-02-29T05:33:00Z</dcterms:modified>
</cp:coreProperties>
</file>