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B11DDF" w:rsidRPr="00D52A61">
        <w:rPr>
          <w:rFonts w:ascii="Times New Roman" w:hAnsi="Times New Roman" w:cs="Times New Roman"/>
          <w:sz w:val="28"/>
          <w:szCs w:val="28"/>
        </w:rPr>
        <w:t xml:space="preserve">от </w:t>
      </w:r>
      <w:r w:rsidR="00B11DDF">
        <w:rPr>
          <w:rFonts w:ascii="Times New Roman" w:hAnsi="Times New Roman" w:cs="Times New Roman"/>
          <w:sz w:val="28"/>
          <w:szCs w:val="28"/>
        </w:rPr>
        <w:t>04</w:t>
      </w:r>
      <w:r w:rsidR="00B11DDF" w:rsidRPr="00D52A61">
        <w:rPr>
          <w:rFonts w:ascii="Times New Roman" w:hAnsi="Times New Roman" w:cs="Times New Roman"/>
          <w:sz w:val="28"/>
          <w:szCs w:val="28"/>
        </w:rPr>
        <w:t>.0</w:t>
      </w:r>
      <w:r w:rsidR="00B11DDF">
        <w:rPr>
          <w:rFonts w:ascii="Times New Roman" w:hAnsi="Times New Roman" w:cs="Times New Roman"/>
          <w:sz w:val="28"/>
          <w:szCs w:val="28"/>
        </w:rPr>
        <w:t>3</w:t>
      </w:r>
      <w:r w:rsidR="00B11DDF" w:rsidRPr="00D52A61">
        <w:rPr>
          <w:rFonts w:ascii="Times New Roman" w:hAnsi="Times New Roman" w:cs="Times New Roman"/>
          <w:sz w:val="28"/>
          <w:szCs w:val="28"/>
        </w:rPr>
        <w:t>.202</w:t>
      </w:r>
      <w:r w:rsidR="00B11DDF">
        <w:rPr>
          <w:rFonts w:ascii="Times New Roman" w:hAnsi="Times New Roman" w:cs="Times New Roman"/>
          <w:sz w:val="28"/>
          <w:szCs w:val="28"/>
        </w:rPr>
        <w:t>2</w:t>
      </w:r>
      <w:r w:rsidR="00B11DDF" w:rsidRPr="00D52A61">
        <w:rPr>
          <w:rFonts w:ascii="Times New Roman" w:hAnsi="Times New Roman" w:cs="Times New Roman"/>
          <w:sz w:val="28"/>
          <w:szCs w:val="28"/>
        </w:rPr>
        <w:t xml:space="preserve"> № </w:t>
      </w:r>
      <w:r w:rsidR="00B11DDF">
        <w:rPr>
          <w:rFonts w:ascii="Times New Roman" w:hAnsi="Times New Roman" w:cs="Times New Roman"/>
          <w:sz w:val="28"/>
          <w:szCs w:val="28"/>
        </w:rPr>
        <w:t>552</w:t>
      </w:r>
      <w:r w:rsidR="00B11DDF" w:rsidRPr="00D52A61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B11DDF" w:rsidRPr="009F577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18.06.2020 № 1863-п/1 «Об утверждении Административного регламента предоставления муниципальной услуги «Предоставление пенсии за выслугу лет лицам, замещавшим должности муниципальной службы в органах местного самоуправления городского округа Тольятти»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858AE"/>
    <w:rsid w:val="002E3A7D"/>
    <w:rsid w:val="003F3CF5"/>
    <w:rsid w:val="00560521"/>
    <w:rsid w:val="00A93F06"/>
    <w:rsid w:val="00B1046D"/>
    <w:rsid w:val="00B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2022-09-07T11:58:00Z</dcterms:created>
  <dcterms:modified xsi:type="dcterms:W3CDTF">2022-09-07T11:59:00Z</dcterms:modified>
</cp:coreProperties>
</file>