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63BEF" w14:textId="77777777" w:rsidR="0094358D" w:rsidRDefault="00160F7D" w:rsidP="00C608E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4C39C59">
          <v:group id="_x0000_s1026" style="position:absolute;left:0;text-align:left;margin-left:249.2pt;margin-top:-29.25pt;width:217.75pt;height:48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14:paraId="5F51C7DD" w14:textId="77777777" w:rsidR="0094358D" w:rsidRPr="0094358D" w:rsidRDefault="0094358D" w:rsidP="0094358D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435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Регистрационный </w:t>
                    </w:r>
                  </w:p>
                  <w:p w14:paraId="5F6D58B4" w14:textId="77777777" w:rsidR="0094358D" w:rsidRPr="0094358D" w:rsidRDefault="0094358D" w:rsidP="0094358D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9435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номер проекта</w:t>
                    </w:r>
                    <w:r w:rsidRPr="0094358D">
                      <w:rPr>
                        <w:rFonts w:ascii="Times New Roman" w:hAnsi="Times New Roman" w:cs="Times New Roman"/>
                      </w:rPr>
                      <w:t xml:space="preserve">: </w:t>
                    </w:r>
                  </w:p>
                  <w:p w14:paraId="00F0CF0E" w14:textId="77777777" w:rsidR="0094358D" w:rsidRDefault="0094358D" w:rsidP="0094358D"/>
                </w:txbxContent>
              </v:textbox>
            </v:shape>
            <v:rect id="_x0000_s1028" style="position:absolute;left:10018;top:2354;width:1440;height:501"/>
          </v:group>
        </w:pict>
      </w:r>
    </w:p>
    <w:p w14:paraId="736364D8" w14:textId="77777777" w:rsidR="00F8330E" w:rsidRDefault="00F8330E" w:rsidP="00F83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5E1EC" w14:textId="518195F9" w:rsidR="00471826" w:rsidRPr="008B784B" w:rsidRDefault="00471826" w:rsidP="0047182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784B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1219061C" w14:textId="77777777" w:rsidR="00471826" w:rsidRPr="008B784B" w:rsidRDefault="00471826" w:rsidP="0047182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690B70" w14:textId="77777777" w:rsidR="0008100D" w:rsidRPr="0008100D" w:rsidRDefault="0008100D" w:rsidP="0008100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100D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2E757D34" w14:textId="63E87491" w:rsidR="0048567B" w:rsidRPr="001943D9" w:rsidRDefault="0008100D" w:rsidP="0008100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100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23.09.2020 № 2850-п/1 «Об утверждении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</w:r>
    </w:p>
    <w:p w14:paraId="6C50FEBE" w14:textId="77777777" w:rsidR="00E33BCC" w:rsidRDefault="00E33BCC" w:rsidP="00C608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49AA78" w14:textId="4CE25AA6" w:rsidR="00E24442" w:rsidRPr="0008100D" w:rsidRDefault="00E24442" w:rsidP="00E244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00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разработан с целью приведения муниципальной программы </w:t>
      </w:r>
      <w:r w:rsidR="0008100D" w:rsidRPr="0008100D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 (далее - Программа)</w:t>
      </w:r>
      <w:r w:rsidRPr="0008100D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8100D" w:rsidRPr="0008100D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23.09.2020 № 2850-п/1</w:t>
      </w:r>
      <w:r w:rsidR="00BE3BA8">
        <w:rPr>
          <w:rFonts w:ascii="Times New Roman" w:hAnsi="Times New Roman" w:cs="Times New Roman"/>
          <w:sz w:val="28"/>
          <w:szCs w:val="28"/>
        </w:rPr>
        <w:t>,</w:t>
      </w:r>
      <w:r w:rsidR="0008100D" w:rsidRPr="0008100D">
        <w:rPr>
          <w:rFonts w:ascii="Times New Roman" w:hAnsi="Times New Roman" w:cs="Times New Roman"/>
          <w:sz w:val="28"/>
          <w:szCs w:val="28"/>
        </w:rPr>
        <w:t xml:space="preserve"> </w:t>
      </w:r>
      <w:r w:rsidRPr="0008100D">
        <w:rPr>
          <w:rFonts w:ascii="Times New Roman" w:hAnsi="Times New Roman" w:cs="Times New Roman"/>
          <w:sz w:val="28"/>
          <w:szCs w:val="28"/>
        </w:rPr>
        <w:t xml:space="preserve"> в соответствие с решени</w:t>
      </w:r>
      <w:r w:rsidR="0008100D" w:rsidRPr="0008100D">
        <w:rPr>
          <w:rFonts w:ascii="Times New Roman" w:hAnsi="Times New Roman" w:cs="Times New Roman"/>
          <w:sz w:val="28"/>
          <w:szCs w:val="28"/>
        </w:rPr>
        <w:t>ем</w:t>
      </w:r>
      <w:r w:rsidRPr="0008100D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</w:t>
      </w:r>
      <w:r w:rsidR="0008100D" w:rsidRPr="0008100D">
        <w:rPr>
          <w:rFonts w:ascii="Times New Roman" w:hAnsi="Times New Roman" w:cs="Times New Roman"/>
          <w:sz w:val="28"/>
          <w:szCs w:val="28"/>
        </w:rPr>
        <w:t>от 23.12.2020 №787 «О бюджете городского округа Тольятти на 2021 год и плановый период 2022 и 2023 годов»</w:t>
      </w:r>
      <w:r w:rsidR="00CE2FBC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CE2FBC" w:rsidRPr="00CE2FBC">
        <w:rPr>
          <w:rFonts w:ascii="Times New Roman" w:hAnsi="Times New Roman" w:cs="Times New Roman"/>
          <w:sz w:val="28"/>
          <w:szCs w:val="28"/>
        </w:rPr>
        <w:t xml:space="preserve"> </w:t>
      </w:r>
      <w:r w:rsidR="00CE2FBC">
        <w:rPr>
          <w:rFonts w:ascii="Times New Roman" w:hAnsi="Times New Roman" w:cs="Times New Roman"/>
          <w:sz w:val="28"/>
          <w:szCs w:val="28"/>
        </w:rPr>
        <w:t>Р</w:t>
      </w:r>
      <w:r w:rsidR="00CE2FBC" w:rsidRPr="0008100D">
        <w:rPr>
          <w:rFonts w:ascii="Times New Roman" w:hAnsi="Times New Roman" w:cs="Times New Roman"/>
          <w:sz w:val="28"/>
          <w:szCs w:val="28"/>
        </w:rPr>
        <w:t>ешение Думы</w:t>
      </w:r>
      <w:r w:rsidR="00CE2FBC" w:rsidRPr="00CE2FBC">
        <w:rPr>
          <w:rFonts w:ascii="Times New Roman" w:hAnsi="Times New Roman" w:cs="Times New Roman"/>
          <w:sz w:val="28"/>
          <w:szCs w:val="28"/>
        </w:rPr>
        <w:t xml:space="preserve"> </w:t>
      </w:r>
      <w:r w:rsidR="00CE2FBC" w:rsidRPr="0008100D">
        <w:rPr>
          <w:rFonts w:ascii="Times New Roman" w:hAnsi="Times New Roman" w:cs="Times New Roman"/>
          <w:sz w:val="28"/>
          <w:szCs w:val="28"/>
        </w:rPr>
        <w:t>городского округа Тольятти от 23.12.2020 №787</w:t>
      </w:r>
      <w:r w:rsidR="00CE2FBC">
        <w:rPr>
          <w:rFonts w:ascii="Times New Roman" w:hAnsi="Times New Roman" w:cs="Times New Roman"/>
          <w:sz w:val="28"/>
          <w:szCs w:val="28"/>
        </w:rPr>
        <w:t>)</w:t>
      </w:r>
      <w:r w:rsidR="00471826" w:rsidRPr="0008100D">
        <w:rPr>
          <w:rFonts w:ascii="Times New Roman" w:hAnsi="Times New Roman" w:cs="Times New Roman"/>
          <w:sz w:val="28"/>
          <w:szCs w:val="28"/>
        </w:rPr>
        <w:t xml:space="preserve">, с </w:t>
      </w:r>
      <w:r w:rsidRPr="0008100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 от 12.08.2013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 и предусматривает следующие изменения</w:t>
      </w:r>
      <w:r w:rsidR="00BE3BA8">
        <w:rPr>
          <w:rFonts w:ascii="Times New Roman" w:hAnsi="Times New Roman" w:cs="Times New Roman"/>
          <w:sz w:val="28"/>
          <w:szCs w:val="28"/>
        </w:rPr>
        <w:t>.</w:t>
      </w:r>
    </w:p>
    <w:p w14:paraId="56D3B4A1" w14:textId="332A7932" w:rsidR="0008100D" w:rsidRPr="0008100D" w:rsidRDefault="00BE3BA8" w:rsidP="00540E2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8100D" w:rsidRPr="0008100D">
        <w:rPr>
          <w:rFonts w:ascii="Times New Roman" w:hAnsi="Times New Roman" w:cs="Times New Roman"/>
          <w:sz w:val="28"/>
          <w:szCs w:val="28"/>
        </w:rPr>
        <w:t xml:space="preserve">инансовое обеспечение муниципальной программы уменьшается на 132 569,4 тыс. руб., </w:t>
      </w:r>
      <w:r w:rsidR="00540E2D">
        <w:rPr>
          <w:rFonts w:ascii="Times New Roman" w:hAnsi="Times New Roman" w:cs="Times New Roman"/>
          <w:sz w:val="28"/>
          <w:szCs w:val="28"/>
        </w:rPr>
        <w:t>и изменяется с 345 576,6 тыс. руб. на 213 007,2 тыс. руб. Изменение произошло</w:t>
      </w:r>
      <w:r w:rsidR="0008100D" w:rsidRPr="0008100D">
        <w:rPr>
          <w:rFonts w:ascii="Times New Roman" w:hAnsi="Times New Roman" w:cs="Times New Roman"/>
          <w:sz w:val="28"/>
          <w:szCs w:val="28"/>
        </w:rPr>
        <w:t xml:space="preserve"> за счет исключения из финансового обеспечения средств бюджета Самарской области на 63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8100D" w:rsidRPr="0008100D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>,0</w:t>
      </w:r>
      <w:r w:rsidR="0008100D" w:rsidRPr="0008100D">
        <w:rPr>
          <w:rFonts w:ascii="Times New Roman" w:hAnsi="Times New Roman" w:cs="Times New Roman"/>
          <w:sz w:val="28"/>
          <w:szCs w:val="28"/>
        </w:rPr>
        <w:t xml:space="preserve"> тыс. руб., за счет снижения финансирования из средств бюджета городского округа Тольятти на </w:t>
      </w:r>
      <w:r w:rsidR="00540E2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100D" w:rsidRPr="0008100D">
        <w:rPr>
          <w:rFonts w:ascii="Times New Roman" w:hAnsi="Times New Roman" w:cs="Times New Roman"/>
          <w:sz w:val="28"/>
          <w:szCs w:val="28"/>
        </w:rPr>
        <w:t>69 441,4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00D" w:rsidRPr="0008100D">
        <w:rPr>
          <w:rFonts w:ascii="Times New Roman" w:hAnsi="Times New Roman" w:cs="Times New Roman"/>
          <w:sz w:val="28"/>
          <w:szCs w:val="28"/>
        </w:rPr>
        <w:t>руб.</w:t>
      </w:r>
      <w:r w:rsidR="00540E2D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854BF9">
        <w:rPr>
          <w:rFonts w:ascii="Times New Roman" w:hAnsi="Times New Roman" w:cs="Times New Roman"/>
          <w:sz w:val="28"/>
          <w:szCs w:val="28"/>
        </w:rPr>
        <w:t>числе:</w:t>
      </w:r>
    </w:p>
    <w:p w14:paraId="3C05088E" w14:textId="30178477" w:rsidR="0008100D" w:rsidRPr="0008100D" w:rsidRDefault="00540E2D" w:rsidP="0008100D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о мероприятию 1.1. «Предоставление субсидии СОНКО, не являющимся государственными (муниципальными) учреждениями, на 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осуществление ими в соответствии с учредительными документами деятельности в области физической культуры и спорта на территории городского округа Тольятти» (ответственный исполнитель – управление физической культуры и спорта) финансирование Программы в 2021, 2022, 2023 годах уменьшается на 975</w:t>
      </w:r>
      <w:r w:rsidR="00BE3BA8">
        <w:rPr>
          <w:rFonts w:ascii="Times New Roman" w:hAnsi="Times New Roman" w:cs="Times New Roman"/>
          <w:bCs/>
          <w:sz w:val="28"/>
          <w:szCs w:val="28"/>
        </w:rPr>
        <w:t>,0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14:paraId="2825FF03" w14:textId="1ECED311" w:rsidR="0008100D" w:rsidRPr="0008100D" w:rsidRDefault="00540E2D" w:rsidP="0008100D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>о мероприятию 1.2. «Предоставление субсидий СОНКО, не являющимся государственными (муниципальными) учреждениями, на реализацию в городском округе Тольятти общественно значимых (социальных) программ в сфере культуры» (ответственный исполнитель – департамент культуры) финансирование Программы в 2021, 2022, 2023 годах уменьшается на 3</w:t>
      </w:r>
      <w:r w:rsidR="00BE3BA8">
        <w:rPr>
          <w:rFonts w:ascii="Times New Roman" w:hAnsi="Times New Roman" w:cs="Times New Roman"/>
          <w:bCs/>
          <w:sz w:val="28"/>
          <w:szCs w:val="28"/>
        </w:rPr>
        <w:t> 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>000</w:t>
      </w:r>
      <w:r w:rsidR="00BE3BA8">
        <w:rPr>
          <w:rFonts w:ascii="Times New Roman" w:hAnsi="Times New Roman" w:cs="Times New Roman"/>
          <w:bCs/>
          <w:sz w:val="28"/>
          <w:szCs w:val="28"/>
        </w:rPr>
        <w:t>,0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14:paraId="54B4DE3F" w14:textId="444A7BA5" w:rsidR="0008100D" w:rsidRPr="0008100D" w:rsidRDefault="00540E2D" w:rsidP="0008100D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64106945"/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>о мероприятию 1.3. «Предоставление субсидии СОНКО, не являющимся государственными (муниципальными) учреждениями, - общественным объединениям пожарной охраны 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Тольятти» (ответственный исполнитель – департамент общественной безопасности) финансирование Программы в 2021, 2022, 2023 годах уменьшается на 6</w:t>
      </w:r>
      <w:r w:rsidR="00521831">
        <w:rPr>
          <w:rFonts w:ascii="Times New Roman" w:hAnsi="Times New Roman" w:cs="Times New Roman"/>
          <w:bCs/>
          <w:sz w:val="28"/>
          <w:szCs w:val="28"/>
        </w:rPr>
        <w:t> 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>000</w:t>
      </w:r>
      <w:r w:rsidR="00521831">
        <w:rPr>
          <w:rFonts w:ascii="Times New Roman" w:hAnsi="Times New Roman" w:cs="Times New Roman"/>
          <w:bCs/>
          <w:sz w:val="28"/>
          <w:szCs w:val="28"/>
        </w:rPr>
        <w:t>,0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14:paraId="39BEEDA8" w14:textId="00C13967" w:rsidR="0008100D" w:rsidRPr="0008100D" w:rsidRDefault="00540E2D" w:rsidP="0008100D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64107132"/>
      <w:bookmarkEnd w:id="0"/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>о мероприятию 1.4. «Предоставление субсидий СОНКО, не являющимся государственными (муниципальными) учреждениями, на осуществление уставной деятельности» (ответственный исполнитель – управление взаимодействия с общественностью) финансирование Программы в 2021, 2022, 2023 годах уменьшается на 3</w:t>
      </w:r>
      <w:r w:rsidR="00521831">
        <w:rPr>
          <w:rFonts w:ascii="Times New Roman" w:hAnsi="Times New Roman" w:cs="Times New Roman"/>
          <w:bCs/>
          <w:sz w:val="28"/>
          <w:szCs w:val="28"/>
        </w:rPr>
        <w:t> 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>000</w:t>
      </w:r>
      <w:r w:rsidR="00521831">
        <w:rPr>
          <w:rFonts w:ascii="Times New Roman" w:hAnsi="Times New Roman" w:cs="Times New Roman"/>
          <w:bCs/>
          <w:sz w:val="28"/>
          <w:szCs w:val="28"/>
        </w:rPr>
        <w:t>,0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14:paraId="6CB0068B" w14:textId="0D60234C" w:rsidR="0008100D" w:rsidRDefault="00540E2D" w:rsidP="0008100D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64107209"/>
      <w:bookmarkEnd w:id="1"/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о мероприятию 1.6. «Предоставление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lastRenderedPageBreak/>
        <w:t>территории городского округа Тольятти» (ответственный исполнитель – управление взаимодействия с общественностью) финансирование Программы в 2021, 2022, 2023 годах уменьшается на 9</w:t>
      </w:r>
      <w:r w:rsidR="00521831">
        <w:rPr>
          <w:rFonts w:ascii="Times New Roman" w:hAnsi="Times New Roman" w:cs="Times New Roman"/>
          <w:bCs/>
          <w:sz w:val="28"/>
          <w:szCs w:val="28"/>
        </w:rPr>
        <w:t> 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>000</w:t>
      </w:r>
      <w:r w:rsidR="00521831">
        <w:rPr>
          <w:rFonts w:ascii="Times New Roman" w:hAnsi="Times New Roman" w:cs="Times New Roman"/>
          <w:bCs/>
          <w:sz w:val="28"/>
          <w:szCs w:val="28"/>
        </w:rPr>
        <w:t>,0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bookmarkEnd w:id="2"/>
    <w:p w14:paraId="5E23111C" w14:textId="77777777" w:rsidR="005A29E6" w:rsidRPr="005A29E6" w:rsidRDefault="00540E2D" w:rsidP="005A29E6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о мероприятию 1.7. «Предоставление субсидии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</w:t>
      </w:r>
      <w:r w:rsidR="00521831">
        <w:rPr>
          <w:rFonts w:ascii="Times New Roman" w:hAnsi="Times New Roman" w:cs="Times New Roman"/>
          <w:bCs/>
          <w:sz w:val="28"/>
          <w:szCs w:val="28"/>
        </w:rPr>
        <w:t>сознание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 и защиту самобытности, культуры, языков и традиций народов Российской Федерации, в городском округе Тольятти» (ответственный исполнитель – управление взаимодействия с общественностью) финансирование Программы в 2021, 2022, 2023 годах </w:t>
      </w:r>
      <w:r w:rsidR="0008100D" w:rsidRPr="005A29E6">
        <w:rPr>
          <w:rFonts w:ascii="Times New Roman" w:hAnsi="Times New Roman" w:cs="Times New Roman"/>
          <w:bCs/>
          <w:sz w:val="28"/>
          <w:szCs w:val="28"/>
        </w:rPr>
        <w:t>уменьшается на 3</w:t>
      </w:r>
      <w:r w:rsidR="00521831" w:rsidRPr="005A29E6">
        <w:rPr>
          <w:rFonts w:ascii="Times New Roman" w:hAnsi="Times New Roman" w:cs="Times New Roman"/>
          <w:bCs/>
          <w:sz w:val="28"/>
          <w:szCs w:val="28"/>
        </w:rPr>
        <w:t> </w:t>
      </w:r>
      <w:r w:rsidR="0008100D" w:rsidRPr="005A29E6">
        <w:rPr>
          <w:rFonts w:ascii="Times New Roman" w:hAnsi="Times New Roman" w:cs="Times New Roman"/>
          <w:bCs/>
          <w:sz w:val="28"/>
          <w:szCs w:val="28"/>
        </w:rPr>
        <w:t>000</w:t>
      </w:r>
      <w:r w:rsidR="00521831" w:rsidRPr="005A29E6">
        <w:rPr>
          <w:rFonts w:ascii="Times New Roman" w:hAnsi="Times New Roman" w:cs="Times New Roman"/>
          <w:bCs/>
          <w:sz w:val="28"/>
          <w:szCs w:val="28"/>
        </w:rPr>
        <w:t>,0</w:t>
      </w:r>
      <w:r w:rsidR="0008100D" w:rsidRPr="005A29E6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BE3BA8" w:rsidRPr="005A29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7F7EB66" w14:textId="358583EE" w:rsidR="0008100D" w:rsidRPr="005A29E6" w:rsidRDefault="00540E2D" w:rsidP="005A29E6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9E6">
        <w:rPr>
          <w:rFonts w:ascii="Times New Roman" w:hAnsi="Times New Roman" w:cs="Times New Roman"/>
          <w:bCs/>
          <w:sz w:val="28"/>
          <w:szCs w:val="28"/>
        </w:rPr>
        <w:t>- в</w:t>
      </w:r>
      <w:r w:rsidR="00BE3BA8" w:rsidRPr="005A29E6">
        <w:rPr>
          <w:rFonts w:ascii="Times New Roman" w:hAnsi="Times New Roman" w:cs="Times New Roman"/>
          <w:bCs/>
          <w:sz w:val="28"/>
          <w:szCs w:val="28"/>
        </w:rPr>
        <w:t xml:space="preserve"> соответствии </w:t>
      </w:r>
      <w:bookmarkStart w:id="3" w:name="_Hlk63954458"/>
      <w:r w:rsidR="00BE3BA8" w:rsidRPr="005A29E6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E2FBC" w:rsidRPr="005A29E6">
        <w:rPr>
          <w:rFonts w:ascii="Times New Roman" w:hAnsi="Times New Roman" w:cs="Times New Roman"/>
          <w:bCs/>
          <w:sz w:val="28"/>
          <w:szCs w:val="28"/>
        </w:rPr>
        <w:t>р</w:t>
      </w:r>
      <w:r w:rsidR="00BE3BA8" w:rsidRPr="005A29E6">
        <w:rPr>
          <w:rFonts w:ascii="Times New Roman" w:hAnsi="Times New Roman" w:cs="Times New Roman"/>
          <w:bCs/>
          <w:sz w:val="28"/>
          <w:szCs w:val="28"/>
        </w:rPr>
        <w:t xml:space="preserve">ешением Думы городского округа Тольятти </w:t>
      </w:r>
      <w:bookmarkEnd w:id="3"/>
      <w:r w:rsidR="00BE3BA8" w:rsidRPr="005A29E6">
        <w:rPr>
          <w:rFonts w:ascii="Times New Roman" w:hAnsi="Times New Roman" w:cs="Times New Roman"/>
          <w:bCs/>
          <w:sz w:val="28"/>
          <w:szCs w:val="28"/>
        </w:rPr>
        <w:t>от 23.12.2020 №787, предусматривающим включение в финансовое обеспечение Программы 1</w:t>
      </w:r>
      <w:r w:rsidR="00521831" w:rsidRPr="005A29E6">
        <w:rPr>
          <w:rFonts w:ascii="Times New Roman" w:hAnsi="Times New Roman" w:cs="Times New Roman"/>
          <w:bCs/>
          <w:sz w:val="28"/>
          <w:szCs w:val="28"/>
        </w:rPr>
        <w:t> </w:t>
      </w:r>
      <w:r w:rsidR="00BE3BA8" w:rsidRPr="005A29E6">
        <w:rPr>
          <w:rFonts w:ascii="Times New Roman" w:hAnsi="Times New Roman" w:cs="Times New Roman"/>
          <w:bCs/>
          <w:sz w:val="28"/>
          <w:szCs w:val="28"/>
        </w:rPr>
        <w:t>500</w:t>
      </w:r>
      <w:r w:rsidR="00521831" w:rsidRPr="005A29E6">
        <w:rPr>
          <w:rFonts w:ascii="Times New Roman" w:hAnsi="Times New Roman" w:cs="Times New Roman"/>
          <w:bCs/>
          <w:sz w:val="28"/>
          <w:szCs w:val="28"/>
        </w:rPr>
        <w:t>,0</w:t>
      </w:r>
      <w:r w:rsidR="00BE3BA8" w:rsidRPr="005A29E6">
        <w:rPr>
          <w:rFonts w:ascii="Times New Roman" w:hAnsi="Times New Roman" w:cs="Times New Roman"/>
          <w:bCs/>
          <w:sz w:val="28"/>
          <w:szCs w:val="28"/>
        </w:rPr>
        <w:t xml:space="preserve"> тыс. руб., департамент городского хозяйства включает в Программу дополнительные задачи и мероприятия на 2021 год. </w:t>
      </w:r>
    </w:p>
    <w:p w14:paraId="3D0E66EC" w14:textId="2E1E32B7" w:rsidR="0008100D" w:rsidRPr="005A29E6" w:rsidRDefault="0008100D" w:rsidP="0008100D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9E6">
        <w:rPr>
          <w:rFonts w:ascii="Times New Roman" w:hAnsi="Times New Roman" w:cs="Times New Roman"/>
          <w:bCs/>
          <w:sz w:val="28"/>
          <w:szCs w:val="28"/>
        </w:rPr>
        <w:t>В Программу включается мероприятие 1.9. «</w:t>
      </w:r>
      <w:r w:rsidR="00CE2FBC" w:rsidRPr="005A29E6">
        <w:rPr>
          <w:rFonts w:ascii="Times New Roman" w:hAnsi="Times New Roman" w:cs="Times New Roman"/>
          <w:bCs/>
          <w:sz w:val="28"/>
          <w:szCs w:val="28"/>
        </w:rPr>
        <w:t>Предоставление субсидии СОНКО, не являющимся государственными (муниципальными) учреждениями, на осуществление уставной деятельности в сфере защиты животных</w:t>
      </w:r>
      <w:r w:rsidRPr="005A29E6">
        <w:rPr>
          <w:rFonts w:ascii="Times New Roman" w:hAnsi="Times New Roman" w:cs="Times New Roman"/>
          <w:bCs/>
          <w:sz w:val="28"/>
          <w:szCs w:val="28"/>
        </w:rPr>
        <w:t>» (ответственный исполнитель – департамент городского хозяйства) финансирование Программы в 2021 году увеличивается на 1</w:t>
      </w:r>
      <w:r w:rsidR="00521831" w:rsidRPr="005A29E6">
        <w:rPr>
          <w:rFonts w:ascii="Times New Roman" w:hAnsi="Times New Roman" w:cs="Times New Roman"/>
          <w:bCs/>
          <w:sz w:val="28"/>
          <w:szCs w:val="28"/>
        </w:rPr>
        <w:t> </w:t>
      </w:r>
      <w:r w:rsidRPr="005A29E6">
        <w:rPr>
          <w:rFonts w:ascii="Times New Roman" w:hAnsi="Times New Roman" w:cs="Times New Roman"/>
          <w:bCs/>
          <w:sz w:val="28"/>
          <w:szCs w:val="28"/>
        </w:rPr>
        <w:t>500</w:t>
      </w:r>
      <w:r w:rsidR="00521831" w:rsidRPr="005A29E6">
        <w:rPr>
          <w:rFonts w:ascii="Times New Roman" w:hAnsi="Times New Roman" w:cs="Times New Roman"/>
          <w:bCs/>
          <w:sz w:val="28"/>
          <w:szCs w:val="28"/>
        </w:rPr>
        <w:t>,0</w:t>
      </w:r>
      <w:r w:rsidRPr="005A29E6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14:paraId="4BF4B209" w14:textId="4BC5E8C5" w:rsidR="0008100D" w:rsidRPr="005A29E6" w:rsidRDefault="00D95183" w:rsidP="005A29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9E6">
        <w:rPr>
          <w:rFonts w:ascii="Times New Roman" w:hAnsi="Times New Roman" w:cs="Times New Roman"/>
          <w:sz w:val="28"/>
          <w:szCs w:val="28"/>
        </w:rPr>
        <w:t xml:space="preserve">Значения показателей (индикаторов) реализации мероприятия                  1.9. </w:t>
      </w:r>
      <w:r w:rsidR="00EB5DC4" w:rsidRPr="005A29E6">
        <w:rPr>
          <w:rFonts w:ascii="Times New Roman" w:hAnsi="Times New Roman" w:cs="Times New Roman"/>
          <w:sz w:val="28"/>
          <w:szCs w:val="28"/>
        </w:rPr>
        <w:t>«Предоставление субсидии СОНКО, не являющимся государственными (муниципальными) учреждениями, на осуществление уставной деятельности в сфере защиты животных</w:t>
      </w:r>
      <w:r w:rsidRPr="005A29E6">
        <w:rPr>
          <w:rFonts w:ascii="Times New Roman" w:eastAsia="Calibri" w:hAnsi="Times New Roman" w:cs="Times New Roman"/>
          <w:sz w:val="28"/>
          <w:szCs w:val="28"/>
        </w:rPr>
        <w:t>» - «</w:t>
      </w:r>
      <w:r w:rsidR="005A29E6" w:rsidRPr="005A29E6">
        <w:rPr>
          <w:rFonts w:ascii="Times New Roman" w:hAnsi="Times New Roman" w:cs="Times New Roman"/>
          <w:sz w:val="28"/>
          <w:szCs w:val="28"/>
        </w:rPr>
        <w:t>Количество СОНКО, которым предоставлены субсидии, от общего количества СОНКО, представивших документы на их предоставление</w:t>
      </w:r>
      <w:r w:rsidRPr="005A29E6">
        <w:rPr>
          <w:rFonts w:ascii="Times New Roman" w:eastAsia="Calibri" w:hAnsi="Times New Roman" w:cs="Times New Roman"/>
          <w:sz w:val="28"/>
          <w:szCs w:val="28"/>
        </w:rPr>
        <w:t>»,  рассчитано,  исходя из</w:t>
      </w:r>
      <w:r w:rsidR="005F0350">
        <w:rPr>
          <w:rFonts w:ascii="Times New Roman" w:eastAsia="Calibri" w:hAnsi="Times New Roman" w:cs="Times New Roman"/>
          <w:sz w:val="28"/>
          <w:szCs w:val="28"/>
        </w:rPr>
        <w:t>:</w:t>
      </w:r>
      <w:r w:rsidR="005A29E6" w:rsidRPr="005A29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350">
        <w:rPr>
          <w:rFonts w:ascii="Times New Roman" w:eastAsia="Calibri" w:hAnsi="Times New Roman" w:cs="Times New Roman"/>
          <w:sz w:val="28"/>
          <w:szCs w:val="28"/>
        </w:rPr>
        <w:t xml:space="preserve">«не менее 3» </w:t>
      </w:r>
      <w:r w:rsidR="005A29E6" w:rsidRPr="005A29E6">
        <w:rPr>
          <w:rFonts w:ascii="Times New Roman" w:eastAsia="Calibri" w:hAnsi="Times New Roman" w:cs="Times New Roman"/>
          <w:sz w:val="28"/>
          <w:szCs w:val="28"/>
        </w:rPr>
        <w:t>единиц.</w:t>
      </w:r>
    </w:p>
    <w:p w14:paraId="055EE428" w14:textId="32ACCA48" w:rsidR="0008100D" w:rsidRPr="0008100D" w:rsidRDefault="00540E2D" w:rsidP="0008100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4925773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</w:t>
      </w:r>
      <w:r w:rsidR="0008100D" w:rsidRPr="0008100D">
        <w:rPr>
          <w:rFonts w:ascii="Times New Roman" w:hAnsi="Times New Roman" w:cs="Times New Roman"/>
          <w:sz w:val="28"/>
          <w:szCs w:val="28"/>
        </w:rPr>
        <w:t>о мероприятию 8.1. «Финансовое обеспечение деятельности МКУ «Центр поддержки общественных инициатив»</w:t>
      </w:r>
      <w:bookmarkEnd w:id="4"/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взаимодействия с общественностью)</w:t>
      </w:r>
      <w:r w:rsidR="0008100D" w:rsidRPr="0008100D">
        <w:rPr>
          <w:rFonts w:ascii="Times New Roman" w:hAnsi="Times New Roman" w:cs="Times New Roman"/>
          <w:sz w:val="28"/>
          <w:szCs w:val="28"/>
        </w:rPr>
        <w:t xml:space="preserve"> объем финансирования в 2021, 2022, 2023 годах 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>уменьшен на 106</w:t>
      </w:r>
      <w:r w:rsidR="005218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>839</w:t>
      </w:r>
      <w:r w:rsidR="00521831">
        <w:rPr>
          <w:rFonts w:ascii="Times New Roman" w:eastAsia="Times New Roman" w:hAnsi="Times New Roman" w:cs="Times New Roman"/>
          <w:sz w:val="28"/>
          <w:szCs w:val="28"/>
        </w:rPr>
        <w:t>,0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 xml:space="preserve"> тыс. руб., в т.ч. на 63</w:t>
      </w:r>
      <w:r w:rsidR="005218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>128</w:t>
      </w:r>
      <w:r w:rsidR="00521831">
        <w:rPr>
          <w:rFonts w:ascii="Times New Roman" w:eastAsia="Times New Roman" w:hAnsi="Times New Roman" w:cs="Times New Roman"/>
          <w:sz w:val="28"/>
          <w:szCs w:val="28"/>
        </w:rPr>
        <w:t>,0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 xml:space="preserve"> тыс. руб. за счет исключения средств бюджета Самарской области.</w:t>
      </w:r>
    </w:p>
    <w:p w14:paraId="246380B0" w14:textId="739ABC21" w:rsidR="0008100D" w:rsidRPr="0008100D" w:rsidRDefault="00540E2D" w:rsidP="0008100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8100D" w:rsidRPr="0008100D">
        <w:rPr>
          <w:rFonts w:ascii="Times New Roman" w:hAnsi="Times New Roman" w:cs="Times New Roman"/>
          <w:sz w:val="28"/>
          <w:szCs w:val="28"/>
        </w:rPr>
        <w:t>о мероприятию 8.3. «Организация и проведение культурно-массового мероприятия, посвященного празднованию очередной годовщины Дня Победы советского народа в Великой Отечественной войне 1941 - 1945 годов»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  (ответственный исполнитель – управление взаимодействия с общественностью) </w:t>
      </w:r>
      <w:r w:rsidR="0008100D" w:rsidRPr="0008100D">
        <w:rPr>
          <w:rFonts w:ascii="Times New Roman" w:hAnsi="Times New Roman" w:cs="Times New Roman"/>
          <w:sz w:val="28"/>
          <w:szCs w:val="28"/>
        </w:rPr>
        <w:t xml:space="preserve"> объем финансирования в 2021, 2022, 2023 годах 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>уменьшен на 2</w:t>
      </w:r>
      <w:r w:rsidR="00160F7D">
        <w:rPr>
          <w:rFonts w:ascii="Times New Roman" w:eastAsia="Times New Roman" w:hAnsi="Times New Roman" w:cs="Times New Roman"/>
          <w:sz w:val="28"/>
          <w:szCs w:val="28"/>
        </w:rPr>
        <w:t>5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14:paraId="184CB595" w14:textId="5BCCC096" w:rsidR="0008100D" w:rsidRPr="0008100D" w:rsidRDefault="00540E2D" w:rsidP="0008100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8100D" w:rsidRPr="0008100D">
        <w:rPr>
          <w:rFonts w:ascii="Times New Roman" w:hAnsi="Times New Roman" w:cs="Times New Roman"/>
          <w:sz w:val="28"/>
          <w:szCs w:val="28"/>
        </w:rPr>
        <w:t>о мероприятию 8.4. «Доставка отдельных категорий граждан, зарегистрированных на территории городского округа Тольятти, на социально значимые мероприятия»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взаимодействия с общественностью) </w:t>
      </w:r>
      <w:r w:rsidR="0008100D" w:rsidRPr="0008100D">
        <w:rPr>
          <w:rFonts w:ascii="Times New Roman" w:hAnsi="Times New Roman" w:cs="Times New Roman"/>
          <w:sz w:val="28"/>
          <w:szCs w:val="28"/>
        </w:rPr>
        <w:t xml:space="preserve">объем финансирования в 2021, 2022, 2023 годах 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>уменьшен на 84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14:paraId="51DEE035" w14:textId="522650A2" w:rsidR="0008100D" w:rsidRPr="0008100D" w:rsidRDefault="00540E2D" w:rsidP="0008100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8100D" w:rsidRPr="0008100D">
        <w:rPr>
          <w:rFonts w:ascii="Times New Roman" w:hAnsi="Times New Roman" w:cs="Times New Roman"/>
          <w:sz w:val="28"/>
          <w:szCs w:val="28"/>
        </w:rPr>
        <w:t>о мероприятию 8.6. «Организация и проведения конкурса на лучшее блюдо национальной кухни «Новогодний хоровод»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взаимодействия с общественностью) </w:t>
      </w:r>
      <w:r w:rsidR="0008100D" w:rsidRPr="0008100D">
        <w:rPr>
          <w:rFonts w:ascii="Times New Roman" w:hAnsi="Times New Roman" w:cs="Times New Roman"/>
          <w:sz w:val="28"/>
          <w:szCs w:val="28"/>
        </w:rPr>
        <w:t xml:space="preserve">объем финансирования в 2021, 2022, 2023 годах 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>уменьшен на 30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14:paraId="6E4C2B3E" w14:textId="35AED863" w:rsidR="0008100D" w:rsidRPr="0008100D" w:rsidRDefault="00540E2D" w:rsidP="0008100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8100D" w:rsidRPr="0008100D">
        <w:rPr>
          <w:rFonts w:ascii="Times New Roman" w:hAnsi="Times New Roman" w:cs="Times New Roman"/>
          <w:sz w:val="28"/>
          <w:szCs w:val="28"/>
        </w:rPr>
        <w:t>о мероприятию 8.7. «Организация и проведение турнира Главы городского округа Тольятти по мини-футболу среди команд национальных общественных объединений городского округа Тольятти, приуроченного к празднованию Дня России.»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взаимодействия с общественностью) </w:t>
      </w:r>
      <w:r w:rsidR="0008100D" w:rsidRPr="0008100D">
        <w:rPr>
          <w:rFonts w:ascii="Times New Roman" w:hAnsi="Times New Roman" w:cs="Times New Roman"/>
          <w:sz w:val="28"/>
          <w:szCs w:val="28"/>
        </w:rPr>
        <w:t xml:space="preserve">объем финансирования в 2021, 2022, 2023 годах 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>уменьшен на 228,6 тыс. руб.</w:t>
      </w:r>
    </w:p>
    <w:p w14:paraId="7B23C921" w14:textId="24D669D6" w:rsidR="0008100D" w:rsidRPr="0008100D" w:rsidRDefault="00540E2D" w:rsidP="0008100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8100D" w:rsidRPr="0008100D">
        <w:rPr>
          <w:rFonts w:ascii="Times New Roman" w:hAnsi="Times New Roman" w:cs="Times New Roman"/>
          <w:sz w:val="28"/>
          <w:szCs w:val="28"/>
        </w:rPr>
        <w:t>о мероприятию 8.8. «Издание календаря «Тольятти – многонациональный»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взаимодействия с общественностью) </w:t>
      </w:r>
      <w:r w:rsidR="0008100D" w:rsidRPr="0008100D">
        <w:rPr>
          <w:rFonts w:ascii="Times New Roman" w:hAnsi="Times New Roman" w:cs="Times New Roman"/>
          <w:sz w:val="28"/>
          <w:szCs w:val="28"/>
        </w:rPr>
        <w:t xml:space="preserve">объем финансирования в 2021, 2022, 2023 годах 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>уменьшен на 168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14:paraId="26E7EE80" w14:textId="64B1ECB4" w:rsidR="0008100D" w:rsidRPr="0008100D" w:rsidRDefault="00540E2D" w:rsidP="0008100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64108699"/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8100D" w:rsidRPr="0008100D">
        <w:rPr>
          <w:rFonts w:ascii="Times New Roman" w:hAnsi="Times New Roman" w:cs="Times New Roman"/>
          <w:sz w:val="28"/>
          <w:szCs w:val="28"/>
        </w:rPr>
        <w:t>о мероприятию 8.9. «Организация и проведение автопробега Тольятти – Самара – Тольятти, посвященного празднованию Дня Конституции Российской Федерации»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взаимодействия с общественностью) </w:t>
      </w:r>
      <w:r w:rsidR="0008100D" w:rsidRPr="0008100D">
        <w:rPr>
          <w:rFonts w:ascii="Times New Roman" w:hAnsi="Times New Roman" w:cs="Times New Roman"/>
          <w:sz w:val="28"/>
          <w:szCs w:val="28"/>
        </w:rPr>
        <w:t xml:space="preserve">объем финансирования в 2021, 2022, 2023 годах 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>уменьшен на 49,8 тыс. руб.</w:t>
      </w:r>
    </w:p>
    <w:bookmarkEnd w:id="5"/>
    <w:p w14:paraId="2AB5738D" w14:textId="72F8A49E" w:rsidR="0008100D" w:rsidRPr="0008100D" w:rsidRDefault="00540E2D" w:rsidP="0008100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8100D" w:rsidRPr="0008100D">
        <w:rPr>
          <w:rFonts w:ascii="Times New Roman" w:hAnsi="Times New Roman" w:cs="Times New Roman"/>
          <w:sz w:val="28"/>
          <w:szCs w:val="28"/>
        </w:rPr>
        <w:t>о мероприятию 8.10. «Проведение социологического исследования «О состоянии межнациональных и межконфессиональных отношений в городском округе Тольятти»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взаимодействия с общественностью) </w:t>
      </w:r>
      <w:r w:rsidR="0008100D" w:rsidRPr="0008100D">
        <w:rPr>
          <w:rFonts w:ascii="Times New Roman" w:hAnsi="Times New Roman" w:cs="Times New Roman"/>
          <w:sz w:val="28"/>
          <w:szCs w:val="28"/>
        </w:rPr>
        <w:t xml:space="preserve">объем финансирования в 2021, 2022, 2023 годах 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>уменьшен на 450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14:paraId="0E1EB3E7" w14:textId="65A7C24A" w:rsidR="0008100D" w:rsidRPr="0008100D" w:rsidRDefault="00540E2D" w:rsidP="0008100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64108875"/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8100D" w:rsidRPr="0008100D">
        <w:rPr>
          <w:rFonts w:ascii="Times New Roman" w:hAnsi="Times New Roman" w:cs="Times New Roman"/>
          <w:sz w:val="28"/>
          <w:szCs w:val="28"/>
        </w:rPr>
        <w:t>о мероприятию 8.11. «Организация и проведение форума НКО городского округа Тольятти»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взаимодействия с общественностью) </w:t>
      </w:r>
      <w:r w:rsidR="0008100D" w:rsidRPr="0008100D">
        <w:rPr>
          <w:rFonts w:ascii="Times New Roman" w:hAnsi="Times New Roman" w:cs="Times New Roman"/>
          <w:sz w:val="28"/>
          <w:szCs w:val="28"/>
        </w:rPr>
        <w:t xml:space="preserve">объем финансирования в 2021, 2022, 2023 годах 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>уменьшен на 600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bookmarkEnd w:id="6"/>
    <w:p w14:paraId="1DD21C31" w14:textId="77777777" w:rsidR="00EB5DC4" w:rsidRDefault="00540E2D" w:rsidP="00EB5DC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8100D" w:rsidRPr="0008100D">
        <w:rPr>
          <w:rFonts w:ascii="Times New Roman" w:hAnsi="Times New Roman" w:cs="Times New Roman"/>
          <w:sz w:val="28"/>
          <w:szCs w:val="28"/>
        </w:rPr>
        <w:t>о мероприятию 8.12. «Организация и проведение конкурса среди ТОС городского округа Тольятти»</w:t>
      </w:r>
      <w:r w:rsidR="0008100D" w:rsidRPr="0008100D">
        <w:rPr>
          <w:rFonts w:ascii="Times New Roman" w:hAnsi="Times New Roman" w:cs="Times New Roman"/>
          <w:bCs/>
          <w:sz w:val="28"/>
          <w:szCs w:val="28"/>
        </w:rPr>
        <w:t xml:space="preserve"> (ответственный исполнитель – управление взаимодействия с общественностью) </w:t>
      </w:r>
      <w:r w:rsidR="0008100D" w:rsidRPr="0008100D">
        <w:rPr>
          <w:rFonts w:ascii="Times New Roman" w:hAnsi="Times New Roman" w:cs="Times New Roman"/>
          <w:sz w:val="28"/>
          <w:szCs w:val="28"/>
        </w:rPr>
        <w:t xml:space="preserve">объем финансирования в 2021, 2022, 2023 годах 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>уменьшен на 390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="0008100D" w:rsidRPr="0008100D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14:paraId="461F4E5A" w14:textId="4720A82E" w:rsidR="00283408" w:rsidRPr="00F8330E" w:rsidRDefault="00D95183" w:rsidP="00F8330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B5DC4">
        <w:rPr>
          <w:rFonts w:ascii="Times New Roman" w:eastAsia="Calibri" w:hAnsi="Times New Roman" w:cs="Times New Roman"/>
          <w:sz w:val="28"/>
          <w:szCs w:val="28"/>
        </w:rPr>
        <w:t>Вносимые изменения не окажут влияния на показатели конечного результата муниципальной программы.</w:t>
      </w:r>
    </w:p>
    <w:p w14:paraId="5A05B755" w14:textId="77777777" w:rsidR="00F8330E" w:rsidRDefault="00F8330E" w:rsidP="005A29E6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C8ACC" w14:textId="285720B5" w:rsidR="00F8330E" w:rsidRPr="00F8330E" w:rsidRDefault="00E24442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43D9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 управления</w:t>
      </w:r>
      <w:r w:rsidRPr="001943D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43D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1943D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Дыченкова</w:t>
      </w:r>
    </w:p>
    <w:p w14:paraId="39B5A677" w14:textId="508CF700" w:rsidR="00F8330E" w:rsidRDefault="00E24442" w:rsidP="00F8330E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DC4">
        <w:rPr>
          <w:rFonts w:ascii="Times New Roman" w:hAnsi="Times New Roman" w:cs="Times New Roman"/>
          <w:sz w:val="24"/>
          <w:szCs w:val="24"/>
        </w:rPr>
        <w:t>С.В.</w:t>
      </w:r>
      <w:r w:rsidR="00EB5DC4">
        <w:rPr>
          <w:rFonts w:ascii="Times New Roman" w:hAnsi="Times New Roman" w:cs="Times New Roman"/>
          <w:sz w:val="24"/>
          <w:szCs w:val="24"/>
        </w:rPr>
        <w:t xml:space="preserve"> </w:t>
      </w:r>
      <w:r w:rsidRPr="00EB5DC4">
        <w:rPr>
          <w:rFonts w:ascii="Times New Roman" w:hAnsi="Times New Roman" w:cs="Times New Roman"/>
          <w:sz w:val="24"/>
          <w:szCs w:val="24"/>
        </w:rPr>
        <w:t>Русакова</w:t>
      </w:r>
      <w:r w:rsidR="00283408" w:rsidRPr="00EB5DC4">
        <w:rPr>
          <w:rFonts w:ascii="Times New Roman" w:hAnsi="Times New Roman" w:cs="Times New Roman"/>
          <w:sz w:val="24"/>
          <w:szCs w:val="24"/>
        </w:rPr>
        <w:t>,</w:t>
      </w:r>
    </w:p>
    <w:p w14:paraId="4B89E92F" w14:textId="2E3EC91A" w:rsidR="00E1195E" w:rsidRPr="00EB5DC4" w:rsidRDefault="00E1195E" w:rsidP="00F8330E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DC4">
        <w:rPr>
          <w:rFonts w:ascii="Times New Roman" w:hAnsi="Times New Roman" w:cs="Times New Roman"/>
          <w:sz w:val="24"/>
          <w:szCs w:val="24"/>
        </w:rPr>
        <w:t>54-46-34 (5010)</w:t>
      </w:r>
    </w:p>
    <w:p w14:paraId="043244B0" w14:textId="77777777" w:rsidR="00EB5DC4" w:rsidRDefault="00EB5DC4" w:rsidP="00F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C4">
        <w:rPr>
          <w:rFonts w:ascii="Times New Roman" w:eastAsia="Times New Roman" w:hAnsi="Times New Roman" w:cs="Times New Roman"/>
          <w:sz w:val="24"/>
          <w:szCs w:val="24"/>
        </w:rPr>
        <w:t>Е.Д. Мамаделеева,</w:t>
      </w:r>
    </w:p>
    <w:p w14:paraId="71DDC45C" w14:textId="72DC3035" w:rsidR="00EB5DC4" w:rsidRPr="00EB5DC4" w:rsidRDefault="00EB5DC4" w:rsidP="00F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C4">
        <w:rPr>
          <w:rFonts w:ascii="Times New Roman" w:eastAsia="Times New Roman" w:hAnsi="Times New Roman" w:cs="Times New Roman"/>
          <w:sz w:val="24"/>
          <w:szCs w:val="24"/>
        </w:rPr>
        <w:t>54-44-33 (3530)</w:t>
      </w:r>
    </w:p>
    <w:sectPr w:rsidR="00EB5DC4" w:rsidRPr="00EB5DC4" w:rsidSect="0038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E9B"/>
    <w:rsid w:val="00000D13"/>
    <w:rsid w:val="0000266A"/>
    <w:rsid w:val="00002F13"/>
    <w:rsid w:val="00004281"/>
    <w:rsid w:val="00010A88"/>
    <w:rsid w:val="00013C15"/>
    <w:rsid w:val="00020771"/>
    <w:rsid w:val="00021219"/>
    <w:rsid w:val="000430A7"/>
    <w:rsid w:val="0004536B"/>
    <w:rsid w:val="00052124"/>
    <w:rsid w:val="000622F3"/>
    <w:rsid w:val="00062F4F"/>
    <w:rsid w:val="000751C4"/>
    <w:rsid w:val="00075F98"/>
    <w:rsid w:val="0008100D"/>
    <w:rsid w:val="000825C0"/>
    <w:rsid w:val="00082FA3"/>
    <w:rsid w:val="00087E5B"/>
    <w:rsid w:val="00093EE4"/>
    <w:rsid w:val="00097A7C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7879"/>
    <w:rsid w:val="000D3D57"/>
    <w:rsid w:val="000E113A"/>
    <w:rsid w:val="000F477C"/>
    <w:rsid w:val="00106C34"/>
    <w:rsid w:val="00106D38"/>
    <w:rsid w:val="00107B51"/>
    <w:rsid w:val="001133F7"/>
    <w:rsid w:val="00114E6B"/>
    <w:rsid w:val="00126FB8"/>
    <w:rsid w:val="00130950"/>
    <w:rsid w:val="00140304"/>
    <w:rsid w:val="001440F7"/>
    <w:rsid w:val="00150EAE"/>
    <w:rsid w:val="0015568B"/>
    <w:rsid w:val="001557F3"/>
    <w:rsid w:val="00155B6F"/>
    <w:rsid w:val="00155F27"/>
    <w:rsid w:val="00160F7D"/>
    <w:rsid w:val="00164651"/>
    <w:rsid w:val="00167607"/>
    <w:rsid w:val="001700A0"/>
    <w:rsid w:val="0017534A"/>
    <w:rsid w:val="001835DA"/>
    <w:rsid w:val="00185739"/>
    <w:rsid w:val="00187CED"/>
    <w:rsid w:val="0019396D"/>
    <w:rsid w:val="001943D9"/>
    <w:rsid w:val="00195E0A"/>
    <w:rsid w:val="001A47AC"/>
    <w:rsid w:val="001B0294"/>
    <w:rsid w:val="001B1764"/>
    <w:rsid w:val="001B431A"/>
    <w:rsid w:val="001B7523"/>
    <w:rsid w:val="001B7F25"/>
    <w:rsid w:val="001C13B8"/>
    <w:rsid w:val="001C178F"/>
    <w:rsid w:val="001C31F8"/>
    <w:rsid w:val="001C3205"/>
    <w:rsid w:val="001C3F39"/>
    <w:rsid w:val="001D0BE4"/>
    <w:rsid w:val="001D0BED"/>
    <w:rsid w:val="001D5221"/>
    <w:rsid w:val="001D6378"/>
    <w:rsid w:val="001D6691"/>
    <w:rsid w:val="001D78A8"/>
    <w:rsid w:val="001D7FC7"/>
    <w:rsid w:val="001E0E4F"/>
    <w:rsid w:val="001E27FC"/>
    <w:rsid w:val="001F21D2"/>
    <w:rsid w:val="001F2AAF"/>
    <w:rsid w:val="001F446B"/>
    <w:rsid w:val="001F74F7"/>
    <w:rsid w:val="00201D69"/>
    <w:rsid w:val="00211E03"/>
    <w:rsid w:val="00216F40"/>
    <w:rsid w:val="00222752"/>
    <w:rsid w:val="0024635E"/>
    <w:rsid w:val="00246604"/>
    <w:rsid w:val="00257208"/>
    <w:rsid w:val="002664E8"/>
    <w:rsid w:val="00270420"/>
    <w:rsid w:val="00275541"/>
    <w:rsid w:val="00276990"/>
    <w:rsid w:val="00283408"/>
    <w:rsid w:val="00294113"/>
    <w:rsid w:val="002B3A97"/>
    <w:rsid w:val="002B7723"/>
    <w:rsid w:val="002B7832"/>
    <w:rsid w:val="002B79A9"/>
    <w:rsid w:val="002C0BB5"/>
    <w:rsid w:val="002C1530"/>
    <w:rsid w:val="002C1884"/>
    <w:rsid w:val="002C5633"/>
    <w:rsid w:val="002E0E9B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42B87"/>
    <w:rsid w:val="00343DE2"/>
    <w:rsid w:val="00343F12"/>
    <w:rsid w:val="00347303"/>
    <w:rsid w:val="003679AC"/>
    <w:rsid w:val="00372196"/>
    <w:rsid w:val="003726F2"/>
    <w:rsid w:val="00372CD9"/>
    <w:rsid w:val="00386A25"/>
    <w:rsid w:val="0038725B"/>
    <w:rsid w:val="003901E0"/>
    <w:rsid w:val="0039620A"/>
    <w:rsid w:val="00397B2A"/>
    <w:rsid w:val="003A0C28"/>
    <w:rsid w:val="003A14DD"/>
    <w:rsid w:val="003A6643"/>
    <w:rsid w:val="003A7D61"/>
    <w:rsid w:val="003B5F8F"/>
    <w:rsid w:val="003C477A"/>
    <w:rsid w:val="003D58B5"/>
    <w:rsid w:val="003D5DC8"/>
    <w:rsid w:val="003E0031"/>
    <w:rsid w:val="003E39E2"/>
    <w:rsid w:val="003F32BC"/>
    <w:rsid w:val="003F3FAD"/>
    <w:rsid w:val="00411B62"/>
    <w:rsid w:val="00417576"/>
    <w:rsid w:val="00422D37"/>
    <w:rsid w:val="00425A90"/>
    <w:rsid w:val="004373AB"/>
    <w:rsid w:val="00437653"/>
    <w:rsid w:val="00441646"/>
    <w:rsid w:val="00443327"/>
    <w:rsid w:val="0045133C"/>
    <w:rsid w:val="00452270"/>
    <w:rsid w:val="00455464"/>
    <w:rsid w:val="004676CB"/>
    <w:rsid w:val="00471826"/>
    <w:rsid w:val="004729B9"/>
    <w:rsid w:val="00472A0C"/>
    <w:rsid w:val="00473CAB"/>
    <w:rsid w:val="004806D8"/>
    <w:rsid w:val="0048158C"/>
    <w:rsid w:val="004854B6"/>
    <w:rsid w:val="0048567B"/>
    <w:rsid w:val="00494297"/>
    <w:rsid w:val="004C00D6"/>
    <w:rsid w:val="004C66D1"/>
    <w:rsid w:val="004E0593"/>
    <w:rsid w:val="004E4D61"/>
    <w:rsid w:val="004E5A22"/>
    <w:rsid w:val="004F3864"/>
    <w:rsid w:val="004F46E8"/>
    <w:rsid w:val="0050217D"/>
    <w:rsid w:val="00506B15"/>
    <w:rsid w:val="005144BF"/>
    <w:rsid w:val="00521831"/>
    <w:rsid w:val="00522B9D"/>
    <w:rsid w:val="00533975"/>
    <w:rsid w:val="00534613"/>
    <w:rsid w:val="005361F5"/>
    <w:rsid w:val="00540E2D"/>
    <w:rsid w:val="00545071"/>
    <w:rsid w:val="005459EE"/>
    <w:rsid w:val="00556E22"/>
    <w:rsid w:val="005635CB"/>
    <w:rsid w:val="0056520B"/>
    <w:rsid w:val="005674B2"/>
    <w:rsid w:val="0057166B"/>
    <w:rsid w:val="00575C36"/>
    <w:rsid w:val="00590416"/>
    <w:rsid w:val="00596F05"/>
    <w:rsid w:val="005A29E6"/>
    <w:rsid w:val="005C23BC"/>
    <w:rsid w:val="005C4CB3"/>
    <w:rsid w:val="005C7E7C"/>
    <w:rsid w:val="005D2C23"/>
    <w:rsid w:val="005D5411"/>
    <w:rsid w:val="005D71DB"/>
    <w:rsid w:val="005D75A2"/>
    <w:rsid w:val="005E1A4A"/>
    <w:rsid w:val="005E209F"/>
    <w:rsid w:val="005F0350"/>
    <w:rsid w:val="005F6E32"/>
    <w:rsid w:val="00601FD7"/>
    <w:rsid w:val="00604F29"/>
    <w:rsid w:val="0061337E"/>
    <w:rsid w:val="0061551A"/>
    <w:rsid w:val="00616239"/>
    <w:rsid w:val="00621B55"/>
    <w:rsid w:val="006239AC"/>
    <w:rsid w:val="0063241A"/>
    <w:rsid w:val="00637914"/>
    <w:rsid w:val="00643C64"/>
    <w:rsid w:val="00644505"/>
    <w:rsid w:val="0065796B"/>
    <w:rsid w:val="00657C7F"/>
    <w:rsid w:val="00657F37"/>
    <w:rsid w:val="00661D12"/>
    <w:rsid w:val="00661D23"/>
    <w:rsid w:val="00676E81"/>
    <w:rsid w:val="0068312D"/>
    <w:rsid w:val="0069214F"/>
    <w:rsid w:val="0069255D"/>
    <w:rsid w:val="00695E0C"/>
    <w:rsid w:val="006A4567"/>
    <w:rsid w:val="006B0312"/>
    <w:rsid w:val="006B3AE6"/>
    <w:rsid w:val="006B4485"/>
    <w:rsid w:val="006C067A"/>
    <w:rsid w:val="006C0D59"/>
    <w:rsid w:val="006C40C0"/>
    <w:rsid w:val="006C5806"/>
    <w:rsid w:val="006C59F0"/>
    <w:rsid w:val="006C5BA6"/>
    <w:rsid w:val="006D0E34"/>
    <w:rsid w:val="006E3255"/>
    <w:rsid w:val="006F2EC6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5202"/>
    <w:rsid w:val="007477F1"/>
    <w:rsid w:val="00747D60"/>
    <w:rsid w:val="00750B17"/>
    <w:rsid w:val="007536A9"/>
    <w:rsid w:val="00754B63"/>
    <w:rsid w:val="00761ECA"/>
    <w:rsid w:val="00771160"/>
    <w:rsid w:val="0078265C"/>
    <w:rsid w:val="00783E75"/>
    <w:rsid w:val="00786365"/>
    <w:rsid w:val="00791A3A"/>
    <w:rsid w:val="007948CB"/>
    <w:rsid w:val="00794FBC"/>
    <w:rsid w:val="007A06A6"/>
    <w:rsid w:val="007A3227"/>
    <w:rsid w:val="007A3831"/>
    <w:rsid w:val="007B1D9A"/>
    <w:rsid w:val="007B2317"/>
    <w:rsid w:val="007B3554"/>
    <w:rsid w:val="007B4638"/>
    <w:rsid w:val="007B4EB8"/>
    <w:rsid w:val="007B79FA"/>
    <w:rsid w:val="007C7969"/>
    <w:rsid w:val="007E0A1A"/>
    <w:rsid w:val="007E34F8"/>
    <w:rsid w:val="007E4861"/>
    <w:rsid w:val="007F4338"/>
    <w:rsid w:val="007F7A4F"/>
    <w:rsid w:val="00807121"/>
    <w:rsid w:val="00812AF4"/>
    <w:rsid w:val="00813F58"/>
    <w:rsid w:val="0081715C"/>
    <w:rsid w:val="00823EE2"/>
    <w:rsid w:val="00832D18"/>
    <w:rsid w:val="00835C04"/>
    <w:rsid w:val="00847DE4"/>
    <w:rsid w:val="00854BF9"/>
    <w:rsid w:val="0085616F"/>
    <w:rsid w:val="00862B22"/>
    <w:rsid w:val="00862ED1"/>
    <w:rsid w:val="008642AD"/>
    <w:rsid w:val="00870E9C"/>
    <w:rsid w:val="00872B27"/>
    <w:rsid w:val="0087451C"/>
    <w:rsid w:val="00876867"/>
    <w:rsid w:val="008770C8"/>
    <w:rsid w:val="00877562"/>
    <w:rsid w:val="008840EE"/>
    <w:rsid w:val="00886B93"/>
    <w:rsid w:val="0089428D"/>
    <w:rsid w:val="008A3772"/>
    <w:rsid w:val="008A7F9A"/>
    <w:rsid w:val="008B6B19"/>
    <w:rsid w:val="008C1323"/>
    <w:rsid w:val="008C290D"/>
    <w:rsid w:val="008C34BC"/>
    <w:rsid w:val="008D4AC9"/>
    <w:rsid w:val="008E2031"/>
    <w:rsid w:val="008F2CBE"/>
    <w:rsid w:val="008F3D71"/>
    <w:rsid w:val="008F62C2"/>
    <w:rsid w:val="00903056"/>
    <w:rsid w:val="0091266D"/>
    <w:rsid w:val="00920606"/>
    <w:rsid w:val="0092545A"/>
    <w:rsid w:val="009254BD"/>
    <w:rsid w:val="00927285"/>
    <w:rsid w:val="00927815"/>
    <w:rsid w:val="0093531C"/>
    <w:rsid w:val="00937886"/>
    <w:rsid w:val="0094358D"/>
    <w:rsid w:val="00950544"/>
    <w:rsid w:val="00952F9E"/>
    <w:rsid w:val="0095742F"/>
    <w:rsid w:val="009650FE"/>
    <w:rsid w:val="00980F85"/>
    <w:rsid w:val="009840DF"/>
    <w:rsid w:val="009963BC"/>
    <w:rsid w:val="00997B01"/>
    <w:rsid w:val="009A4DE9"/>
    <w:rsid w:val="009A5F6C"/>
    <w:rsid w:val="009A6052"/>
    <w:rsid w:val="009A6E1A"/>
    <w:rsid w:val="009A71C6"/>
    <w:rsid w:val="009B73B2"/>
    <w:rsid w:val="009C156D"/>
    <w:rsid w:val="009C18AC"/>
    <w:rsid w:val="009D0996"/>
    <w:rsid w:val="009D500B"/>
    <w:rsid w:val="009D622C"/>
    <w:rsid w:val="009E5EC1"/>
    <w:rsid w:val="009F3111"/>
    <w:rsid w:val="009F526A"/>
    <w:rsid w:val="00A015BA"/>
    <w:rsid w:val="00A01DC9"/>
    <w:rsid w:val="00A04BC9"/>
    <w:rsid w:val="00A123E3"/>
    <w:rsid w:val="00A15191"/>
    <w:rsid w:val="00A3624F"/>
    <w:rsid w:val="00A4345F"/>
    <w:rsid w:val="00A44387"/>
    <w:rsid w:val="00A507CE"/>
    <w:rsid w:val="00A5317D"/>
    <w:rsid w:val="00A678F2"/>
    <w:rsid w:val="00A75F4E"/>
    <w:rsid w:val="00A766BC"/>
    <w:rsid w:val="00A82BAB"/>
    <w:rsid w:val="00A866D4"/>
    <w:rsid w:val="00A94675"/>
    <w:rsid w:val="00A97CA3"/>
    <w:rsid w:val="00AA40E6"/>
    <w:rsid w:val="00AB5C6E"/>
    <w:rsid w:val="00AB6D97"/>
    <w:rsid w:val="00AC2001"/>
    <w:rsid w:val="00AC4C51"/>
    <w:rsid w:val="00AD53E0"/>
    <w:rsid w:val="00AD6097"/>
    <w:rsid w:val="00AE2DB7"/>
    <w:rsid w:val="00B005DA"/>
    <w:rsid w:val="00B03B21"/>
    <w:rsid w:val="00B059FC"/>
    <w:rsid w:val="00B1102B"/>
    <w:rsid w:val="00B130FD"/>
    <w:rsid w:val="00B20BF5"/>
    <w:rsid w:val="00B22534"/>
    <w:rsid w:val="00B3223F"/>
    <w:rsid w:val="00B43DD2"/>
    <w:rsid w:val="00B44BF8"/>
    <w:rsid w:val="00B61F02"/>
    <w:rsid w:val="00B75435"/>
    <w:rsid w:val="00B808B3"/>
    <w:rsid w:val="00B938E5"/>
    <w:rsid w:val="00BA0EBB"/>
    <w:rsid w:val="00BA2CF5"/>
    <w:rsid w:val="00BA749E"/>
    <w:rsid w:val="00BC0823"/>
    <w:rsid w:val="00BC0B83"/>
    <w:rsid w:val="00BE3BA8"/>
    <w:rsid w:val="00BE6865"/>
    <w:rsid w:val="00BF350C"/>
    <w:rsid w:val="00BF69FC"/>
    <w:rsid w:val="00C0390B"/>
    <w:rsid w:val="00C16FBD"/>
    <w:rsid w:val="00C31193"/>
    <w:rsid w:val="00C31880"/>
    <w:rsid w:val="00C375D7"/>
    <w:rsid w:val="00C608E5"/>
    <w:rsid w:val="00C718FE"/>
    <w:rsid w:val="00C72E9F"/>
    <w:rsid w:val="00C7620B"/>
    <w:rsid w:val="00C81EB3"/>
    <w:rsid w:val="00C83F99"/>
    <w:rsid w:val="00C861A6"/>
    <w:rsid w:val="00C8748A"/>
    <w:rsid w:val="00C910CB"/>
    <w:rsid w:val="00CB4A8D"/>
    <w:rsid w:val="00CC28B7"/>
    <w:rsid w:val="00CC3938"/>
    <w:rsid w:val="00CD41ED"/>
    <w:rsid w:val="00CE0A55"/>
    <w:rsid w:val="00CE21B8"/>
    <w:rsid w:val="00CE2FBC"/>
    <w:rsid w:val="00CF678D"/>
    <w:rsid w:val="00CF7F9F"/>
    <w:rsid w:val="00D04DBE"/>
    <w:rsid w:val="00D06550"/>
    <w:rsid w:val="00D07987"/>
    <w:rsid w:val="00D167CC"/>
    <w:rsid w:val="00D17932"/>
    <w:rsid w:val="00D17D70"/>
    <w:rsid w:val="00D219FE"/>
    <w:rsid w:val="00D26728"/>
    <w:rsid w:val="00D319F8"/>
    <w:rsid w:val="00D40533"/>
    <w:rsid w:val="00D4342D"/>
    <w:rsid w:val="00D55101"/>
    <w:rsid w:val="00D72529"/>
    <w:rsid w:val="00D753E8"/>
    <w:rsid w:val="00D86FFD"/>
    <w:rsid w:val="00D87848"/>
    <w:rsid w:val="00D904A6"/>
    <w:rsid w:val="00D93A35"/>
    <w:rsid w:val="00D95183"/>
    <w:rsid w:val="00D95412"/>
    <w:rsid w:val="00DA3584"/>
    <w:rsid w:val="00DA3B62"/>
    <w:rsid w:val="00DA40D8"/>
    <w:rsid w:val="00DC070F"/>
    <w:rsid w:val="00DC4985"/>
    <w:rsid w:val="00DC6141"/>
    <w:rsid w:val="00DE4173"/>
    <w:rsid w:val="00DE7741"/>
    <w:rsid w:val="00E022BC"/>
    <w:rsid w:val="00E1195E"/>
    <w:rsid w:val="00E20AA9"/>
    <w:rsid w:val="00E24442"/>
    <w:rsid w:val="00E24493"/>
    <w:rsid w:val="00E3258C"/>
    <w:rsid w:val="00E33BCC"/>
    <w:rsid w:val="00E50113"/>
    <w:rsid w:val="00E51CE7"/>
    <w:rsid w:val="00E54320"/>
    <w:rsid w:val="00E5450D"/>
    <w:rsid w:val="00E65956"/>
    <w:rsid w:val="00E7079F"/>
    <w:rsid w:val="00E84BD0"/>
    <w:rsid w:val="00E92F6D"/>
    <w:rsid w:val="00EA0711"/>
    <w:rsid w:val="00EA53F3"/>
    <w:rsid w:val="00EA74B0"/>
    <w:rsid w:val="00EB3EFF"/>
    <w:rsid w:val="00EB5DC4"/>
    <w:rsid w:val="00EC5D2D"/>
    <w:rsid w:val="00EC72E8"/>
    <w:rsid w:val="00ED3398"/>
    <w:rsid w:val="00ED41AE"/>
    <w:rsid w:val="00EE62AB"/>
    <w:rsid w:val="00EE6666"/>
    <w:rsid w:val="00EE705A"/>
    <w:rsid w:val="00EF231B"/>
    <w:rsid w:val="00EF44BA"/>
    <w:rsid w:val="00F14D7D"/>
    <w:rsid w:val="00F1797A"/>
    <w:rsid w:val="00F240D3"/>
    <w:rsid w:val="00F241C8"/>
    <w:rsid w:val="00F24329"/>
    <w:rsid w:val="00F3517F"/>
    <w:rsid w:val="00F52E08"/>
    <w:rsid w:val="00F5416D"/>
    <w:rsid w:val="00F66308"/>
    <w:rsid w:val="00F66D07"/>
    <w:rsid w:val="00F67785"/>
    <w:rsid w:val="00F76EDB"/>
    <w:rsid w:val="00F8330E"/>
    <w:rsid w:val="00F94FED"/>
    <w:rsid w:val="00FA2735"/>
    <w:rsid w:val="00FB1EB6"/>
    <w:rsid w:val="00FB668C"/>
    <w:rsid w:val="00FC042E"/>
    <w:rsid w:val="00FC2BB6"/>
    <w:rsid w:val="00FD55BB"/>
    <w:rsid w:val="00FD5A9B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7531AD6"/>
  <w15:docId w15:val="{2F23A7B7-02B1-4DAA-A38E-9172547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DB8CA-EC56-4EE9-8D79-4ABBCEB0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Русакова Светлана Вячеславовна</cp:lastModifiedBy>
  <cp:revision>24</cp:revision>
  <cp:lastPrinted>2021-03-03T11:00:00Z</cp:lastPrinted>
  <dcterms:created xsi:type="dcterms:W3CDTF">2020-02-11T08:58:00Z</dcterms:created>
  <dcterms:modified xsi:type="dcterms:W3CDTF">2021-03-03T11:02:00Z</dcterms:modified>
</cp:coreProperties>
</file>