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D5" w:rsidRDefault="00FA42D5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42D5" w:rsidRDefault="00FA42D5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0269" w:rsidRDefault="008B2E48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7F0269" w:rsidRPr="006F17F5" w:rsidRDefault="007F0269" w:rsidP="007F026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7F0269" w:rsidRDefault="007F0269" w:rsidP="007F0269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>» (далее-проект)</w:t>
      </w:r>
    </w:p>
    <w:p w:rsidR="00103269" w:rsidRDefault="00103269" w:rsidP="00C4505C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Данный проект постановления разработан </w:t>
      </w:r>
      <w:r>
        <w:rPr>
          <w:rFonts w:ascii="Times New Roman" w:hAnsi="Times New Roman"/>
          <w:sz w:val="28"/>
          <w:szCs w:val="28"/>
        </w:rPr>
        <w:t xml:space="preserve">с целью приведения финансового обеспечения  и показателей (индикаторов) муниципальной программы «Создание условий для улучшения качества жизни жителей городского округа Тольятти» на 2020-2024 годы, утвержденной постановлением администрации городского округа  Тольятти   от 13.09.2019  №2488-п/1 (далее – Программа)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выделением средств из областного бюджета в соответствии с распоряжением правительства Самарской области от 16.11.2022 №623-р «Об утверждении изменений в распределение на 2022-2024 годы  субвенций, формируемых за счет собственных доходов  и источников финансирования дефицита областного бюджета, по городским округам, городским округам с внутригородским делением, муниципальным районам, предусмотренное приложением 12.1  (таблица П6) к Закону Самарской области «Об областном бюджете на 2022 год и на плановый период 2023 и 2024 годов» (уведомление</w:t>
      </w:r>
      <w:r w:rsidRPr="00A57D3D">
        <w:rPr>
          <w:rFonts w:ascii="Times New Roman" w:hAnsi="Times New Roman"/>
          <w:sz w:val="28"/>
          <w:szCs w:val="28"/>
        </w:rPr>
        <w:t xml:space="preserve">  Министерства социально-демографической и семейной политики Самарской области  по расчетам между бюджетами от 28.11.2022 №03.02/РС-914-3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решениями  Думы городского округа Тольятти от </w:t>
      </w:r>
      <w:r w:rsidRPr="00525AE3">
        <w:rPr>
          <w:rFonts w:ascii="Times New Roman" w:hAnsi="Times New Roman"/>
          <w:bCs/>
          <w:spacing w:val="-2"/>
          <w:sz w:val="28"/>
          <w:szCs w:val="28"/>
        </w:rPr>
        <w:t>19.10.2022 №1394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и №1419 от  23.11.2022 №      «О внесении изменений  в решение Думы городского округа Тольятти от 08.12.2021 №1128 «О бюджете городского округа Тольятти на 2022 год и плановый период 2023 и 2024 годов»,  с постановлением мэрии городского округа Тольятти от 12.08.2013г.№2546-п/1 «Об утверждении Порядка принятия решений о разработке, формирования  и реализации, </w:t>
      </w:r>
      <w:r>
        <w:rPr>
          <w:rFonts w:ascii="Times New Roman" w:hAnsi="Times New Roman"/>
          <w:bCs/>
          <w:spacing w:val="-2"/>
          <w:sz w:val="28"/>
          <w:szCs w:val="28"/>
        </w:rPr>
        <w:lastRenderedPageBreak/>
        <w:t>оценки эффективности муниципальных программ городского округа Тольятти».</w:t>
      </w:r>
    </w:p>
    <w:p w:rsidR="00F00662" w:rsidRPr="00F00662" w:rsidRDefault="00F00662" w:rsidP="00F0066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Показатель конечного результата «Значение общего коэффициента рождаемости (в промилле) (федеральный проект «Финансовая поддержка семей при рождении детей») снижен с 7,5 до 6,9 промилле в соответствии с </w:t>
      </w:r>
      <w:r>
        <w:rPr>
          <w:rFonts w:ascii="Times New Roman" w:hAnsi="Times New Roman"/>
          <w:sz w:val="28"/>
          <w:szCs w:val="28"/>
        </w:rPr>
        <w:t>декомпозированными показателями</w:t>
      </w:r>
      <w:r w:rsidRPr="00F00662">
        <w:rPr>
          <w:rFonts w:ascii="Times New Roman" w:hAnsi="Times New Roman"/>
          <w:sz w:val="28"/>
          <w:szCs w:val="28"/>
        </w:rPr>
        <w:t xml:space="preserve"> по муниципальным образованиям Самарской области региональной составляющей национального проекта «Демография» на 2022год</w:t>
      </w:r>
      <w:r>
        <w:rPr>
          <w:rFonts w:ascii="Times New Roman" w:hAnsi="Times New Roman"/>
          <w:sz w:val="28"/>
          <w:szCs w:val="28"/>
        </w:rPr>
        <w:t>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задаче 1 «</w:t>
      </w:r>
      <w:r w:rsidRPr="008E79C7">
        <w:rPr>
          <w:rFonts w:ascii="Times New Roman" w:hAnsi="Times New Roman"/>
          <w:sz w:val="28"/>
          <w:szCs w:val="28"/>
        </w:rPr>
        <w:t>Финансовая поддержка семей с детьми</w:t>
      </w:r>
      <w:r>
        <w:rPr>
          <w:rFonts w:ascii="Times New Roman" w:hAnsi="Times New Roman"/>
          <w:sz w:val="28"/>
          <w:szCs w:val="28"/>
        </w:rPr>
        <w:t>»: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1.1. «</w:t>
      </w:r>
      <w:r w:rsidRPr="00C5034D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в муниципальных общеобразовательных учреждениях городского округа Тольятти</w:t>
      </w:r>
      <w:r>
        <w:rPr>
          <w:rFonts w:ascii="Times New Roman" w:hAnsi="Times New Roman"/>
          <w:sz w:val="28"/>
          <w:szCs w:val="28"/>
        </w:rPr>
        <w:t>»  в связи с фактически сложившейся экономией уменьшаются ассигнования с 42513,0 тыс. руб. до 27273,0 тыс. руб.  Показатель (индикатор) изменяется с 4536 до 3736 чел.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 мероприятию 1.6 «</w:t>
      </w:r>
      <w:r w:rsidRPr="00DB3AC2">
        <w:rPr>
          <w:rFonts w:ascii="Times New Roman" w:hAnsi="Times New Roman"/>
          <w:sz w:val="28"/>
          <w:szCs w:val="28"/>
        </w:rPr>
        <w:t>Предоставление ежемесячного пособия на содержание ребенка, переданного на воспитание в приемную семью, на патронатное воспитание</w:t>
      </w:r>
      <w:r>
        <w:rPr>
          <w:rFonts w:ascii="Times New Roman" w:hAnsi="Times New Roman"/>
          <w:sz w:val="28"/>
          <w:szCs w:val="28"/>
        </w:rPr>
        <w:t xml:space="preserve">» уменьшаются  ассигнования с 5700,0 до 5310,0 тыс. руб. в связи с фактически сложившейся экономией.   Уменьшилось количество получателей. Показатель (индикатор) изменяется с 3800 до 3540  выплат. 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мероприятию 1.13. «</w:t>
      </w:r>
      <w:r w:rsidRPr="003D1A68">
        <w:rPr>
          <w:rFonts w:ascii="Times New Roman" w:hAnsi="Times New Roman"/>
          <w:sz w:val="28"/>
          <w:szCs w:val="28"/>
        </w:rPr>
        <w:t>Предоставление единовременной социальной выплаты на ремонт жилого помещения лицу из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» в бюджете Самарской области предусмотрены субвенции  в объеме 2380,0 тыс. руб. на 10 выплат на исполнение переданных государственных полномочий Самарской области по предоставлению единовременной социальной выплаты на ремонт  </w:t>
      </w:r>
      <w:r>
        <w:rPr>
          <w:rFonts w:ascii="Times New Roman" w:hAnsi="Times New Roman"/>
          <w:sz w:val="28"/>
          <w:szCs w:val="28"/>
        </w:rPr>
        <w:lastRenderedPageBreak/>
        <w:t xml:space="preserve">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собственности. 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задаче 2 «</w:t>
      </w:r>
      <w:r w:rsidRPr="00E975D0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обучающимся по очной форме обучения в расположенных на территории городского округа Тольятти образовательных организациях, реализующих основные профессиональные образовательные программы</w:t>
      </w:r>
      <w:r>
        <w:rPr>
          <w:rFonts w:ascii="Times New Roman" w:hAnsi="Times New Roman"/>
          <w:sz w:val="28"/>
          <w:szCs w:val="28"/>
        </w:rPr>
        <w:t>» по мероприятию 2.1. «</w:t>
      </w:r>
      <w:r w:rsidRPr="008724C4">
        <w:rPr>
          <w:rFonts w:ascii="Times New Roman" w:hAnsi="Times New Roman"/>
          <w:sz w:val="28"/>
          <w:szCs w:val="28"/>
        </w:rPr>
        <w:t>Предоставление ежемесячной денежной выплаты на приобретение льготных электронных проездных билетов обучающимся по очной форме обучения в расположенных на территории городского округа Тольятти образовательных организациях, реализующих основные профессиональные образовательные программы</w:t>
      </w:r>
      <w:r>
        <w:rPr>
          <w:rFonts w:ascii="Times New Roman" w:hAnsi="Times New Roman"/>
          <w:sz w:val="28"/>
          <w:szCs w:val="28"/>
        </w:rPr>
        <w:t>» уменьшаются   ассигнования с 1168,0 до 319,0 тыс. руб. в связи с приостановлением действия постановления мэрии городского округа Тольятти от 06.03.2014 «693-п/1 «Об утверждении Порядка  предоставления дополнительных мер социальной поддержки обучающимся по очной форме обучения в расположенных на территории городского округа Тольятти образовательных организациях, реализующих основные профессиональные образовательные программы» на период с 01.09.2022 по 31.12.2023.  Показатель (индикатор) изменяется  с 151 до 88 человек.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задаче 3 «</w:t>
      </w:r>
      <w:r w:rsidRPr="00E14094">
        <w:rPr>
          <w:rFonts w:ascii="Times New Roman" w:hAnsi="Times New Roman"/>
          <w:sz w:val="28"/>
          <w:szCs w:val="28"/>
        </w:rPr>
        <w:t>Предоставление социальных выплат гражданам, имеющим особые заслуги перед обществом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мероприятию 3.1 «</w:t>
      </w:r>
      <w:r w:rsidRPr="00E93357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для отдельных категорий граждан, зарегистрированных в городском округе Тольятти, в виде единовременных денежных выплат к отдельным датам</w:t>
      </w:r>
      <w:r>
        <w:rPr>
          <w:rFonts w:ascii="Times New Roman" w:hAnsi="Times New Roman"/>
          <w:sz w:val="28"/>
          <w:szCs w:val="28"/>
        </w:rPr>
        <w:t>» уменьшаются ассигнования с 2122,0 тыс. руб. до 1912,0 тыс. руб. в связи с уменьшением количества получателей. Показатель (индикатор) изменяется с 3823 до 3423 человек. Уменьшение обусловлено естественной  убылью получателей.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мероприятию 3.4 «</w:t>
      </w:r>
      <w:r w:rsidRPr="00313785">
        <w:rPr>
          <w:rFonts w:ascii="Times New Roman" w:hAnsi="Times New Roman"/>
          <w:sz w:val="28"/>
          <w:szCs w:val="28"/>
        </w:rPr>
        <w:t>Предоставление ежемесячной денежной выплаты Почетным гражданам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» уменьшаются ассигнования с 2968,0  до 2842,0 тыс. руб. в связи с фактически сложившейся экономией в связи со смертью получателя. Показатель (индикатор) изменяется с 18 до 17 человек. 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мероприятию 3.5 «</w:t>
      </w:r>
      <w:r w:rsidRPr="004C7467">
        <w:rPr>
          <w:rFonts w:ascii="Times New Roman" w:hAnsi="Times New Roman"/>
          <w:sz w:val="28"/>
          <w:szCs w:val="28"/>
        </w:rPr>
        <w:t>Предоставление ежемесячной денежной выплаты в случае смерти (гибели) Почетных граждан городского округа Тольятти пережившим их супругам и родителям, проживавшим совместно с Почетным гражданином городского округа Тольятти на день его смерти (гибели)</w:t>
      </w:r>
      <w:r>
        <w:rPr>
          <w:rFonts w:ascii="Times New Roman" w:hAnsi="Times New Roman"/>
          <w:sz w:val="28"/>
          <w:szCs w:val="28"/>
        </w:rPr>
        <w:t xml:space="preserve">» уменьшаются ассигнования с 495,0 до 468,0 тыс. руб. в связи с фактически сложившейся экономией в связи с естественной убылью получателей и появлением новых в течение года. Показатель (индикатор) не меняется. 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 мероприятию 3.8. «</w:t>
      </w:r>
      <w:r w:rsidRPr="00C33B46">
        <w:rPr>
          <w:rFonts w:ascii="Times New Roman" w:hAnsi="Times New Roman"/>
          <w:sz w:val="28"/>
          <w:szCs w:val="28"/>
        </w:rPr>
        <w:t>Предоставление компенсационной выплаты родственникам умершего (погибшего) Почетного гражданина городского округа Тольятти в случае осуществления ими изготовления и установки надгробного памятника на могиле умершего (погибшего) Почетного гражданина городского округа Тольятти за счет собственных средств</w:t>
      </w:r>
      <w:r>
        <w:rPr>
          <w:rFonts w:ascii="Times New Roman" w:hAnsi="Times New Roman"/>
          <w:sz w:val="28"/>
          <w:szCs w:val="28"/>
        </w:rPr>
        <w:t>» с 50,0 до 100,0 тыс. руб. Показатель (индикатор) изменяется  с 1 до 2 человек.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мероприятию 3.9 «</w:t>
      </w:r>
      <w:r w:rsidRPr="00C33B46">
        <w:rPr>
          <w:rFonts w:ascii="Times New Roman" w:hAnsi="Times New Roman"/>
          <w:sz w:val="28"/>
          <w:szCs w:val="28"/>
        </w:rPr>
        <w:t>Предоставление ежемесячного пособия на содержание детей умершего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его естественной смерти</w:t>
      </w:r>
      <w:r>
        <w:rPr>
          <w:rFonts w:ascii="Times New Roman" w:hAnsi="Times New Roman"/>
          <w:sz w:val="28"/>
          <w:szCs w:val="28"/>
        </w:rPr>
        <w:t xml:space="preserve">» уменьшаются  ассигнования с 720,0 до 590,0 тыс. руб.  в связи с фактически сложившейся экономией. Показатель (индикатор) изменяется с 6 до 5 человек. Выплата имеет заявительный характер. 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мероприятию 3.12 «</w:t>
      </w:r>
      <w:r w:rsidRPr="00C33B46">
        <w:rPr>
          <w:rFonts w:ascii="Times New Roman" w:hAnsi="Times New Roman"/>
          <w:sz w:val="28"/>
          <w:szCs w:val="28"/>
        </w:rPr>
        <w:t xml:space="preserve">Ежемесячные денежные выплаты на оплату жилого помещения и коммунальных услуг отдельным категориям граждан, проживающим в домах, лишенных статуса домов системы социального </w:t>
      </w:r>
      <w:r w:rsidRPr="00C33B46">
        <w:rPr>
          <w:rFonts w:ascii="Times New Roman" w:hAnsi="Times New Roman"/>
          <w:sz w:val="28"/>
          <w:szCs w:val="28"/>
        </w:rPr>
        <w:lastRenderedPageBreak/>
        <w:t>обслуживания населения</w:t>
      </w:r>
      <w:r>
        <w:rPr>
          <w:rFonts w:ascii="Times New Roman" w:hAnsi="Times New Roman"/>
          <w:sz w:val="28"/>
          <w:szCs w:val="28"/>
        </w:rPr>
        <w:t>»  уменьшаются ассигнования с 53,0 до 36,0 тыс. руб. в связи с фактически сложившейся экономией в связи со смертью получателя. Показатель (индикатор) изменяется с 3 до 2 человек.</w:t>
      </w:r>
    </w:p>
    <w:p w:rsidR="00CB4DDA" w:rsidRPr="00757B45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мероприятию 3.14. «</w:t>
      </w:r>
      <w:r w:rsidRPr="00E03049">
        <w:rPr>
          <w:rFonts w:ascii="Times New Roman" w:hAnsi="Times New Roman"/>
          <w:sz w:val="28"/>
          <w:szCs w:val="28"/>
        </w:rPr>
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 90-летия</w:t>
      </w:r>
      <w:r>
        <w:rPr>
          <w:rFonts w:ascii="Times New Roman" w:hAnsi="Times New Roman"/>
          <w:sz w:val="28"/>
          <w:szCs w:val="28"/>
        </w:rPr>
        <w:t>» уменьшаются ассигнования с 387,0 тыс. руб. до 379,0  тыс. руб.  в связи с фактически сложившейся экономией от закупки. Показатель (индикатор) изменяется  с 387 до 327 штук исходя из фактической стоимости подарка.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задаче 4 «</w:t>
      </w:r>
      <w:r w:rsidRPr="00DE1EF2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для граждан, находящихся в трудной жизненной ситуации, чрезвычайных обстоятельствах</w:t>
      </w:r>
      <w:r>
        <w:rPr>
          <w:rFonts w:ascii="Times New Roman" w:hAnsi="Times New Roman"/>
          <w:sz w:val="28"/>
          <w:szCs w:val="28"/>
        </w:rPr>
        <w:t>» по мероприятию 4.1 «</w:t>
      </w:r>
      <w:r w:rsidRPr="0050016A">
        <w:rPr>
          <w:rFonts w:ascii="Times New Roman" w:hAnsi="Times New Roman"/>
          <w:sz w:val="28"/>
          <w:szCs w:val="28"/>
        </w:rPr>
        <w:t>Предоставление единовременной денежной выплаты для граждан, находящихся в трудной жизненной ситуации, чрезвычайных обстоятельствах</w:t>
      </w:r>
      <w:r>
        <w:rPr>
          <w:rFonts w:ascii="Times New Roman" w:hAnsi="Times New Roman"/>
          <w:sz w:val="28"/>
          <w:szCs w:val="28"/>
        </w:rPr>
        <w:t>» изменяется показатель (индикатор) с 134 до 109 чел. ассигнования остались без изменений.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задаче 5 «</w:t>
      </w:r>
      <w:r w:rsidRPr="0096346D">
        <w:rPr>
          <w:rFonts w:ascii="Times New Roman" w:hAnsi="Times New Roman"/>
          <w:sz w:val="28"/>
          <w:szCs w:val="28"/>
        </w:rPr>
        <w:t>Организация пожизненной ренты граждан, передающих на праве собственности жилые помещения в муниципальную собственность городского округа Тольятти</w:t>
      </w:r>
      <w:r>
        <w:rPr>
          <w:rFonts w:ascii="Times New Roman" w:hAnsi="Times New Roman"/>
          <w:sz w:val="28"/>
          <w:szCs w:val="28"/>
        </w:rPr>
        <w:t>»: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мероприятию 5.1. «</w:t>
      </w:r>
      <w:r w:rsidRPr="00DD2326">
        <w:rPr>
          <w:rFonts w:ascii="Times New Roman" w:hAnsi="Times New Roman"/>
          <w:sz w:val="28"/>
          <w:szCs w:val="28"/>
        </w:rPr>
        <w:t>Выплата  в рамках договоров   пожизненной ренты</w:t>
      </w:r>
      <w:r>
        <w:rPr>
          <w:rFonts w:ascii="Times New Roman" w:hAnsi="Times New Roman"/>
          <w:sz w:val="28"/>
          <w:szCs w:val="28"/>
        </w:rPr>
        <w:t>» уменьшаются ассигнования с 1259,0 до 997,0 тыс. руб. в связи с фактически сложившейся экономией.   Получатели ренты в течение 9 месяцев не заключали договоры на социальные  услуги  и услуги постоянного постороннего ухода.  Показатель (индикатор) не меняется.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мероприятию 5.2 «</w:t>
      </w:r>
      <w:r w:rsidRPr="00DA3CE8">
        <w:rPr>
          <w:rFonts w:ascii="Times New Roman" w:hAnsi="Times New Roman"/>
          <w:sz w:val="28"/>
          <w:szCs w:val="28"/>
        </w:rPr>
        <w:t>Оплата комиссионного вознаграждения по операциям кредитной организации  (услуг организации почтовой связи), связанным (связанных) с выплатами в рамках договоров пожизненной ренты; оплата расходов, связанных с сопровождением договоров пожизненной ренты</w:t>
      </w:r>
      <w:r>
        <w:rPr>
          <w:rFonts w:ascii="Times New Roman" w:hAnsi="Times New Roman"/>
          <w:sz w:val="28"/>
          <w:szCs w:val="28"/>
        </w:rPr>
        <w:t>» уменьшаются  ассигнования со 137,2 до 134,2  тыс. руб. в связи  фактически сложившейся экономией. Показатель (индикатор) не меняется.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задаче 6 «</w:t>
      </w:r>
      <w:r w:rsidRPr="00353021">
        <w:rPr>
          <w:rFonts w:ascii="Times New Roman" w:hAnsi="Times New Roman"/>
          <w:sz w:val="28"/>
          <w:szCs w:val="28"/>
        </w:rPr>
        <w:t>Обеспечение условия для реализации до</w:t>
      </w:r>
      <w:r>
        <w:rPr>
          <w:rFonts w:ascii="Times New Roman" w:hAnsi="Times New Roman"/>
          <w:sz w:val="28"/>
          <w:szCs w:val="28"/>
        </w:rPr>
        <w:t>полнительных мер социальной подд</w:t>
      </w:r>
      <w:r w:rsidRPr="0035302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 w:rsidRPr="00353021">
        <w:rPr>
          <w:rFonts w:ascii="Times New Roman" w:hAnsi="Times New Roman"/>
          <w:sz w:val="28"/>
          <w:szCs w:val="28"/>
        </w:rPr>
        <w:t>жки населения</w:t>
      </w:r>
      <w:r>
        <w:rPr>
          <w:rFonts w:ascii="Times New Roman" w:hAnsi="Times New Roman"/>
          <w:sz w:val="28"/>
          <w:szCs w:val="28"/>
        </w:rPr>
        <w:t>» по мероприятию 6.1. «</w:t>
      </w:r>
      <w:r w:rsidRPr="00BD32E4">
        <w:rPr>
          <w:rFonts w:ascii="Times New Roman" w:hAnsi="Times New Roman"/>
          <w:sz w:val="28"/>
          <w:szCs w:val="28"/>
        </w:rPr>
        <w:t>Комиссионное вознаграждение по операциям кредитной организации, связанным с перечислением публичных нормативных социальных выплат гражданам на территории городского округа Тольятти, либо доставка данных выплат</w:t>
      </w:r>
      <w:r>
        <w:rPr>
          <w:rFonts w:ascii="Times New Roman" w:hAnsi="Times New Roman"/>
          <w:sz w:val="28"/>
          <w:szCs w:val="28"/>
        </w:rPr>
        <w:t xml:space="preserve"> через почтовые отделения связи» уменьшаются ассигнования с 543,8 до 508,8 тыс. руб. в связи с фактически сложившейся экономией. Показатель (индикатор) не меняется.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задаче 7 «</w:t>
      </w:r>
      <w:r w:rsidRPr="00241840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отдельным категориям граждан в виде ежемесячной денежной выплаты к пенсии</w:t>
      </w:r>
      <w:r>
        <w:rPr>
          <w:rFonts w:ascii="Times New Roman" w:hAnsi="Times New Roman"/>
          <w:sz w:val="28"/>
          <w:szCs w:val="28"/>
        </w:rPr>
        <w:t>» по мероприятию 7.1 «</w:t>
      </w:r>
      <w:r w:rsidRPr="00DD2326">
        <w:rPr>
          <w:rFonts w:ascii="Times New Roman" w:hAnsi="Times New Roman"/>
          <w:sz w:val="28"/>
          <w:szCs w:val="28"/>
        </w:rPr>
        <w:t>Предоставление ежемесячной денежной выплаты к пенсии отдельным категориям граждан</w:t>
      </w:r>
      <w:r>
        <w:rPr>
          <w:rFonts w:ascii="Times New Roman" w:hAnsi="Times New Roman"/>
          <w:sz w:val="28"/>
          <w:szCs w:val="28"/>
        </w:rPr>
        <w:t>» уменьшаются  ассигнования с 29104,0 до 26886,4 тыс. руб. в связи с фактически сложившейся экономией. Показатель (индикатор) изменяется  с 9218 до 6867 человек. Выплата имеет заявительный характер.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задаче 8 «</w:t>
      </w:r>
      <w:r w:rsidRPr="00241840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для отдельных категорий граждан из числа инвалидов</w:t>
      </w:r>
      <w:r>
        <w:rPr>
          <w:rFonts w:ascii="Times New Roman" w:hAnsi="Times New Roman"/>
          <w:sz w:val="28"/>
          <w:szCs w:val="28"/>
        </w:rPr>
        <w:t>»: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мероприятию 8.1 «</w:t>
      </w:r>
      <w:r w:rsidRPr="00387677">
        <w:rPr>
          <w:rFonts w:ascii="Times New Roman" w:hAnsi="Times New Roman"/>
          <w:sz w:val="28"/>
          <w:szCs w:val="28"/>
        </w:rPr>
        <w:t>Предоставление ежемесячной денежной выплаты на проезд для отдельных категорий граждан из числа инвалидов</w:t>
      </w:r>
      <w:r>
        <w:rPr>
          <w:rFonts w:ascii="Times New Roman" w:hAnsi="Times New Roman"/>
          <w:sz w:val="28"/>
          <w:szCs w:val="28"/>
        </w:rPr>
        <w:t xml:space="preserve">» уменьшаются  ассигнования с 6660,0 до 5850,0 тыс. руб. в связи с фактически сложившейся экономией. Уменьшилось  количество получателей. Показатель (индикатор) изменяется  с 222 до 195 человек. 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мероприятию 8.2 «</w:t>
      </w:r>
      <w:r w:rsidRPr="00F52B43">
        <w:rPr>
          <w:rFonts w:ascii="Times New Roman" w:hAnsi="Times New Roman"/>
          <w:sz w:val="28"/>
          <w:szCs w:val="28"/>
        </w:rPr>
        <w:t>Предоставление ежемесячных денежных выплат для отдельных категорий граждан, имеющих детей, которые имеют право на предоставление мер социальной поддержки, установленных для детей-инвалидов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 уменьшаются  ассигнования с 558,0 до 498,0 тыс. руб.</w:t>
      </w:r>
      <w:r w:rsidRPr="00F52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Уменьшилось  количество получателей. Показатель (индикатор) изменяется с 93 до 83 человек.</w:t>
      </w:r>
    </w:p>
    <w:p w:rsidR="00CB4DDA" w:rsidRDefault="00CB4DDA" w:rsidP="00CB4D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задаче 9 «</w:t>
      </w:r>
      <w:r w:rsidRPr="00241840">
        <w:rPr>
          <w:rFonts w:ascii="Times New Roman" w:hAnsi="Times New Roman"/>
          <w:sz w:val="28"/>
          <w:szCs w:val="28"/>
        </w:rPr>
        <w:t>Популяризация семейных ценностей</w:t>
      </w:r>
      <w:r>
        <w:rPr>
          <w:rFonts w:ascii="Times New Roman" w:hAnsi="Times New Roman"/>
          <w:sz w:val="28"/>
          <w:szCs w:val="28"/>
        </w:rPr>
        <w:t>»  по мероприятию 9.1. «</w:t>
      </w:r>
      <w:r w:rsidRPr="00EA6286">
        <w:rPr>
          <w:rFonts w:ascii="Times New Roman" w:hAnsi="Times New Roman"/>
          <w:sz w:val="28"/>
          <w:szCs w:val="28"/>
        </w:rPr>
        <w:t xml:space="preserve">Приобретение товаров, работ, услуг связанных с проведением при участии </w:t>
      </w:r>
      <w:r w:rsidRPr="00EA6286">
        <w:rPr>
          <w:rFonts w:ascii="Times New Roman" w:hAnsi="Times New Roman"/>
          <w:sz w:val="28"/>
          <w:szCs w:val="28"/>
        </w:rPr>
        <w:lastRenderedPageBreak/>
        <w:t>департамента социального обеспечения администрации городского округа Тольятти праздничных мероприятий, предусмотренных в рамках утвержденных перечней праздничных мероприятий на территории городского округа Тольятти на соответствующий год, но не включенных в муниципальное задание муниципальных учреждений городского округа Тольятти, находящихся в ведомственном подчинении департамента культуры администрации городского округа Тольятти</w:t>
      </w:r>
      <w:r>
        <w:rPr>
          <w:rFonts w:ascii="Times New Roman" w:hAnsi="Times New Roman"/>
          <w:sz w:val="28"/>
          <w:szCs w:val="28"/>
        </w:rPr>
        <w:t>» уменьшаются  ассигнования с 142,0 до 139,0 в связи с фактически сложившейся экономией от закупок. Показатель (индикатор) не изменился.</w:t>
      </w:r>
    </w:p>
    <w:p w:rsidR="00CB4DDA" w:rsidRDefault="00CB4DDA" w:rsidP="00CB4DDA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 </w:t>
      </w:r>
      <w:r>
        <w:rPr>
          <w:rFonts w:ascii="Times New Roman" w:hAnsi="Times New Roman"/>
          <w:bCs/>
          <w:sz w:val="28"/>
          <w:szCs w:val="28"/>
        </w:rPr>
        <w:t xml:space="preserve">финансовое обеспечение по муниципальной программе на 2022 год составило  118 235,9 тыс. руб. </w:t>
      </w:r>
    </w:p>
    <w:p w:rsidR="00CB4DDA" w:rsidRPr="00E83476" w:rsidRDefault="00CB4DDA" w:rsidP="00CB4DDA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476">
        <w:rPr>
          <w:rFonts w:ascii="Times New Roman" w:hAnsi="Times New Roman"/>
          <w:sz w:val="28"/>
          <w:szCs w:val="28"/>
        </w:rPr>
        <w:t>Все принятые обязательства перед физическими лицами будут исполнены в полном объеме.</w:t>
      </w:r>
    </w:p>
    <w:p w:rsidR="00CB4DDA" w:rsidRDefault="00CB4DDA" w:rsidP="00CB4DD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B4DDA" w:rsidRPr="005F7984" w:rsidRDefault="00CB4DDA" w:rsidP="00CB4DDA">
      <w:pPr>
        <w:rPr>
          <w:rFonts w:ascii="Times New Roman" w:hAnsi="Times New Roman"/>
          <w:sz w:val="28"/>
          <w:szCs w:val="28"/>
        </w:rPr>
      </w:pPr>
    </w:p>
    <w:p w:rsidR="00CB4DDA" w:rsidRDefault="00CB4DDA" w:rsidP="00CB4DD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25AE3" w:rsidRPr="003C0354" w:rsidRDefault="00525AE3" w:rsidP="00525AE3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AE3" w:rsidRDefault="00525AE3" w:rsidP="00525AE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F7984" w:rsidRP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5F7984" w:rsidRDefault="005F7984" w:rsidP="005F7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                                                            С.В.Лысова</w:t>
      </w:r>
    </w:p>
    <w:p w:rsidR="005F7984" w:rsidRP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5F7984" w:rsidRP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5F7984" w:rsidRDefault="005F7984" w:rsidP="005F7984">
      <w:pPr>
        <w:rPr>
          <w:rFonts w:ascii="Times New Roman" w:hAnsi="Times New Roman"/>
          <w:sz w:val="28"/>
          <w:szCs w:val="28"/>
        </w:rPr>
      </w:pPr>
    </w:p>
    <w:p w:rsidR="004124F9" w:rsidRPr="005F7984" w:rsidRDefault="005F7984" w:rsidP="005F7984">
      <w:pPr>
        <w:rPr>
          <w:rFonts w:ascii="Times New Roman" w:hAnsi="Times New Roman"/>
          <w:sz w:val="18"/>
          <w:szCs w:val="18"/>
        </w:rPr>
      </w:pPr>
      <w:r w:rsidRPr="005F7984">
        <w:rPr>
          <w:rFonts w:ascii="Times New Roman" w:hAnsi="Times New Roman"/>
          <w:sz w:val="18"/>
          <w:szCs w:val="18"/>
        </w:rPr>
        <w:t>Мирошникова Е.Ю.</w:t>
      </w:r>
    </w:p>
    <w:p w:rsidR="005F7984" w:rsidRPr="005F7984" w:rsidRDefault="005F7984" w:rsidP="005F7984">
      <w:pPr>
        <w:rPr>
          <w:rFonts w:ascii="Times New Roman" w:hAnsi="Times New Roman"/>
          <w:sz w:val="18"/>
          <w:szCs w:val="18"/>
        </w:rPr>
      </w:pPr>
      <w:r w:rsidRPr="005F7984">
        <w:rPr>
          <w:rFonts w:ascii="Times New Roman" w:hAnsi="Times New Roman"/>
          <w:sz w:val="18"/>
          <w:szCs w:val="18"/>
        </w:rPr>
        <w:t>544957</w:t>
      </w:r>
    </w:p>
    <w:sectPr w:rsidR="005F7984" w:rsidRPr="005F7984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B91" w:rsidRDefault="009D7B91" w:rsidP="004124F9">
      <w:pPr>
        <w:spacing w:after="0" w:line="240" w:lineRule="auto"/>
      </w:pPr>
      <w:r>
        <w:separator/>
      </w:r>
    </w:p>
  </w:endnote>
  <w:endnote w:type="continuationSeparator" w:id="1">
    <w:p w:rsidR="009D7B91" w:rsidRDefault="009D7B91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B91" w:rsidRDefault="009D7B91" w:rsidP="004124F9">
      <w:pPr>
        <w:spacing w:after="0" w:line="240" w:lineRule="auto"/>
      </w:pPr>
      <w:r>
        <w:separator/>
      </w:r>
    </w:p>
  </w:footnote>
  <w:footnote w:type="continuationSeparator" w:id="1">
    <w:p w:rsidR="009D7B91" w:rsidRDefault="009D7B91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067D2"/>
    <w:rsid w:val="00014123"/>
    <w:rsid w:val="00016A3B"/>
    <w:rsid w:val="000205C0"/>
    <w:rsid w:val="000208CB"/>
    <w:rsid w:val="000230E3"/>
    <w:rsid w:val="0002498C"/>
    <w:rsid w:val="0002515C"/>
    <w:rsid w:val="00030BEC"/>
    <w:rsid w:val="000321B4"/>
    <w:rsid w:val="000328E3"/>
    <w:rsid w:val="00035688"/>
    <w:rsid w:val="0004322F"/>
    <w:rsid w:val="00047F34"/>
    <w:rsid w:val="00050DA0"/>
    <w:rsid w:val="0005696C"/>
    <w:rsid w:val="00057E11"/>
    <w:rsid w:val="00062860"/>
    <w:rsid w:val="00063FAB"/>
    <w:rsid w:val="000652A9"/>
    <w:rsid w:val="00067958"/>
    <w:rsid w:val="00073103"/>
    <w:rsid w:val="00074583"/>
    <w:rsid w:val="00076D73"/>
    <w:rsid w:val="00082C46"/>
    <w:rsid w:val="00083594"/>
    <w:rsid w:val="00083C00"/>
    <w:rsid w:val="00086657"/>
    <w:rsid w:val="000A225A"/>
    <w:rsid w:val="000A4529"/>
    <w:rsid w:val="000A5085"/>
    <w:rsid w:val="000A6B08"/>
    <w:rsid w:val="000B1776"/>
    <w:rsid w:val="000B267A"/>
    <w:rsid w:val="000B3C7D"/>
    <w:rsid w:val="000B459C"/>
    <w:rsid w:val="000B570D"/>
    <w:rsid w:val="000B7B52"/>
    <w:rsid w:val="000C4F98"/>
    <w:rsid w:val="000C5E4E"/>
    <w:rsid w:val="000C7BFC"/>
    <w:rsid w:val="000D0752"/>
    <w:rsid w:val="000D2932"/>
    <w:rsid w:val="000D64AC"/>
    <w:rsid w:val="000E2428"/>
    <w:rsid w:val="000E3059"/>
    <w:rsid w:val="000E60F8"/>
    <w:rsid w:val="000F27E2"/>
    <w:rsid w:val="00101350"/>
    <w:rsid w:val="00101818"/>
    <w:rsid w:val="00103269"/>
    <w:rsid w:val="001034EA"/>
    <w:rsid w:val="001101FA"/>
    <w:rsid w:val="001145DA"/>
    <w:rsid w:val="00117CC3"/>
    <w:rsid w:val="00121BC8"/>
    <w:rsid w:val="00123426"/>
    <w:rsid w:val="00134207"/>
    <w:rsid w:val="00136C39"/>
    <w:rsid w:val="001426CE"/>
    <w:rsid w:val="001448B1"/>
    <w:rsid w:val="001454E2"/>
    <w:rsid w:val="00145A19"/>
    <w:rsid w:val="00153766"/>
    <w:rsid w:val="0015526E"/>
    <w:rsid w:val="00155FC7"/>
    <w:rsid w:val="0017224A"/>
    <w:rsid w:val="00172D5A"/>
    <w:rsid w:val="0017790F"/>
    <w:rsid w:val="0018010A"/>
    <w:rsid w:val="00182B34"/>
    <w:rsid w:val="00183F30"/>
    <w:rsid w:val="00191809"/>
    <w:rsid w:val="001957BD"/>
    <w:rsid w:val="0019649A"/>
    <w:rsid w:val="00197F3F"/>
    <w:rsid w:val="001A394A"/>
    <w:rsid w:val="001A4B63"/>
    <w:rsid w:val="001A4D24"/>
    <w:rsid w:val="001B3F87"/>
    <w:rsid w:val="001B4A56"/>
    <w:rsid w:val="001B5E69"/>
    <w:rsid w:val="001C12FB"/>
    <w:rsid w:val="001C23F7"/>
    <w:rsid w:val="001D0A28"/>
    <w:rsid w:val="001D2FC3"/>
    <w:rsid w:val="001D45E1"/>
    <w:rsid w:val="001D6607"/>
    <w:rsid w:val="001E1854"/>
    <w:rsid w:val="001E484B"/>
    <w:rsid w:val="001E774B"/>
    <w:rsid w:val="00200184"/>
    <w:rsid w:val="00203B77"/>
    <w:rsid w:val="00211DAD"/>
    <w:rsid w:val="00216827"/>
    <w:rsid w:val="002307BA"/>
    <w:rsid w:val="002344E7"/>
    <w:rsid w:val="00234526"/>
    <w:rsid w:val="00234835"/>
    <w:rsid w:val="00234DCA"/>
    <w:rsid w:val="00244FFC"/>
    <w:rsid w:val="002509F6"/>
    <w:rsid w:val="002535F3"/>
    <w:rsid w:val="00261155"/>
    <w:rsid w:val="00261698"/>
    <w:rsid w:val="0026204C"/>
    <w:rsid w:val="00263567"/>
    <w:rsid w:val="00267A31"/>
    <w:rsid w:val="002721AC"/>
    <w:rsid w:val="00272DBE"/>
    <w:rsid w:val="00284E54"/>
    <w:rsid w:val="00287E3A"/>
    <w:rsid w:val="00290879"/>
    <w:rsid w:val="002946C1"/>
    <w:rsid w:val="002A19CD"/>
    <w:rsid w:val="002A3211"/>
    <w:rsid w:val="002A4E7B"/>
    <w:rsid w:val="002A764B"/>
    <w:rsid w:val="002B5522"/>
    <w:rsid w:val="002B78A9"/>
    <w:rsid w:val="002C6F57"/>
    <w:rsid w:val="002D0EDF"/>
    <w:rsid w:val="002D5097"/>
    <w:rsid w:val="002F0C62"/>
    <w:rsid w:val="002F6618"/>
    <w:rsid w:val="00300D8D"/>
    <w:rsid w:val="00304062"/>
    <w:rsid w:val="0030676E"/>
    <w:rsid w:val="003076CD"/>
    <w:rsid w:val="00307DC5"/>
    <w:rsid w:val="003141EC"/>
    <w:rsid w:val="003163CE"/>
    <w:rsid w:val="00320ABC"/>
    <w:rsid w:val="0032186E"/>
    <w:rsid w:val="00322B21"/>
    <w:rsid w:val="003352DD"/>
    <w:rsid w:val="003353F7"/>
    <w:rsid w:val="00336352"/>
    <w:rsid w:val="00337226"/>
    <w:rsid w:val="003408CF"/>
    <w:rsid w:val="0034135A"/>
    <w:rsid w:val="00341920"/>
    <w:rsid w:val="00341E49"/>
    <w:rsid w:val="00342020"/>
    <w:rsid w:val="00342ED8"/>
    <w:rsid w:val="00352AB3"/>
    <w:rsid w:val="00356A8F"/>
    <w:rsid w:val="00372675"/>
    <w:rsid w:val="00380ECD"/>
    <w:rsid w:val="003848D5"/>
    <w:rsid w:val="00395F23"/>
    <w:rsid w:val="00396820"/>
    <w:rsid w:val="003A306C"/>
    <w:rsid w:val="003B4DD2"/>
    <w:rsid w:val="003C0354"/>
    <w:rsid w:val="003C2500"/>
    <w:rsid w:val="003C2DDE"/>
    <w:rsid w:val="003C54E9"/>
    <w:rsid w:val="003D1A68"/>
    <w:rsid w:val="003E3727"/>
    <w:rsid w:val="003E5900"/>
    <w:rsid w:val="003E5B61"/>
    <w:rsid w:val="00403213"/>
    <w:rsid w:val="004124F9"/>
    <w:rsid w:val="00435EC8"/>
    <w:rsid w:val="00440714"/>
    <w:rsid w:val="00442F08"/>
    <w:rsid w:val="004509AE"/>
    <w:rsid w:val="00454A39"/>
    <w:rsid w:val="00454A60"/>
    <w:rsid w:val="004572D4"/>
    <w:rsid w:val="00461D73"/>
    <w:rsid w:val="00462021"/>
    <w:rsid w:val="004715A7"/>
    <w:rsid w:val="00473FD4"/>
    <w:rsid w:val="00473FDA"/>
    <w:rsid w:val="00477EAF"/>
    <w:rsid w:val="004841D8"/>
    <w:rsid w:val="00484633"/>
    <w:rsid w:val="00484AAC"/>
    <w:rsid w:val="00486331"/>
    <w:rsid w:val="00486677"/>
    <w:rsid w:val="00490843"/>
    <w:rsid w:val="0049441F"/>
    <w:rsid w:val="004972B4"/>
    <w:rsid w:val="004A3F20"/>
    <w:rsid w:val="004A410A"/>
    <w:rsid w:val="004B19A7"/>
    <w:rsid w:val="004B2DF3"/>
    <w:rsid w:val="004B2F13"/>
    <w:rsid w:val="004B2FCA"/>
    <w:rsid w:val="004C4525"/>
    <w:rsid w:val="004D13C5"/>
    <w:rsid w:val="004D1AEB"/>
    <w:rsid w:val="004D2C13"/>
    <w:rsid w:val="004D7639"/>
    <w:rsid w:val="004E0A27"/>
    <w:rsid w:val="004E18C8"/>
    <w:rsid w:val="004F094A"/>
    <w:rsid w:val="004F3C0F"/>
    <w:rsid w:val="004F67E3"/>
    <w:rsid w:val="00506E63"/>
    <w:rsid w:val="00513BB1"/>
    <w:rsid w:val="00514AD7"/>
    <w:rsid w:val="00516566"/>
    <w:rsid w:val="00520029"/>
    <w:rsid w:val="00521B3A"/>
    <w:rsid w:val="00525AE3"/>
    <w:rsid w:val="0053142E"/>
    <w:rsid w:val="005326E3"/>
    <w:rsid w:val="00532955"/>
    <w:rsid w:val="00536748"/>
    <w:rsid w:val="00556687"/>
    <w:rsid w:val="00561598"/>
    <w:rsid w:val="00574A8E"/>
    <w:rsid w:val="00576D01"/>
    <w:rsid w:val="00581862"/>
    <w:rsid w:val="00581BC0"/>
    <w:rsid w:val="005840F5"/>
    <w:rsid w:val="0058718C"/>
    <w:rsid w:val="00592859"/>
    <w:rsid w:val="00596D5E"/>
    <w:rsid w:val="005A02E0"/>
    <w:rsid w:val="005A2E8D"/>
    <w:rsid w:val="005A4EED"/>
    <w:rsid w:val="005A67B2"/>
    <w:rsid w:val="005B0C7D"/>
    <w:rsid w:val="005B3EF0"/>
    <w:rsid w:val="005B4249"/>
    <w:rsid w:val="005B5DAB"/>
    <w:rsid w:val="005B6F2B"/>
    <w:rsid w:val="005B7CE2"/>
    <w:rsid w:val="005C142A"/>
    <w:rsid w:val="005C3EFA"/>
    <w:rsid w:val="005D019D"/>
    <w:rsid w:val="005D1DDA"/>
    <w:rsid w:val="005D7585"/>
    <w:rsid w:val="005E436E"/>
    <w:rsid w:val="005E43D7"/>
    <w:rsid w:val="005F307E"/>
    <w:rsid w:val="005F7984"/>
    <w:rsid w:val="00602D7E"/>
    <w:rsid w:val="006032EF"/>
    <w:rsid w:val="006062F5"/>
    <w:rsid w:val="006102DC"/>
    <w:rsid w:val="006128C4"/>
    <w:rsid w:val="00617231"/>
    <w:rsid w:val="006200CB"/>
    <w:rsid w:val="006321EF"/>
    <w:rsid w:val="00633F86"/>
    <w:rsid w:val="00640384"/>
    <w:rsid w:val="00641273"/>
    <w:rsid w:val="006551A7"/>
    <w:rsid w:val="006559CE"/>
    <w:rsid w:val="00667FF0"/>
    <w:rsid w:val="006703D8"/>
    <w:rsid w:val="00671121"/>
    <w:rsid w:val="006766EB"/>
    <w:rsid w:val="006801A0"/>
    <w:rsid w:val="006903D8"/>
    <w:rsid w:val="006919A9"/>
    <w:rsid w:val="0069544A"/>
    <w:rsid w:val="00695994"/>
    <w:rsid w:val="006965C1"/>
    <w:rsid w:val="00697D96"/>
    <w:rsid w:val="006B0955"/>
    <w:rsid w:val="006B32E4"/>
    <w:rsid w:val="006B3EE5"/>
    <w:rsid w:val="006B6F12"/>
    <w:rsid w:val="006C08D7"/>
    <w:rsid w:val="006C2471"/>
    <w:rsid w:val="006C4020"/>
    <w:rsid w:val="006C414F"/>
    <w:rsid w:val="006C6E26"/>
    <w:rsid w:val="006D00AC"/>
    <w:rsid w:val="006E1DAA"/>
    <w:rsid w:val="006E4C46"/>
    <w:rsid w:val="006E7113"/>
    <w:rsid w:val="006F3838"/>
    <w:rsid w:val="006F4965"/>
    <w:rsid w:val="006F6865"/>
    <w:rsid w:val="00703A08"/>
    <w:rsid w:val="007054F2"/>
    <w:rsid w:val="007079BD"/>
    <w:rsid w:val="0071297A"/>
    <w:rsid w:val="0071614A"/>
    <w:rsid w:val="007301B0"/>
    <w:rsid w:val="007353F9"/>
    <w:rsid w:val="00735925"/>
    <w:rsid w:val="0073641C"/>
    <w:rsid w:val="00740320"/>
    <w:rsid w:val="007439C0"/>
    <w:rsid w:val="0074473A"/>
    <w:rsid w:val="007454C2"/>
    <w:rsid w:val="007505C0"/>
    <w:rsid w:val="007558F6"/>
    <w:rsid w:val="007608D5"/>
    <w:rsid w:val="007644EE"/>
    <w:rsid w:val="00767938"/>
    <w:rsid w:val="00773562"/>
    <w:rsid w:val="00780EF6"/>
    <w:rsid w:val="007826D5"/>
    <w:rsid w:val="00784F21"/>
    <w:rsid w:val="00793EBE"/>
    <w:rsid w:val="007A04A3"/>
    <w:rsid w:val="007A05C1"/>
    <w:rsid w:val="007A0936"/>
    <w:rsid w:val="007B2095"/>
    <w:rsid w:val="007B358D"/>
    <w:rsid w:val="007C40B9"/>
    <w:rsid w:val="007C5E3A"/>
    <w:rsid w:val="007C6502"/>
    <w:rsid w:val="007D3725"/>
    <w:rsid w:val="007D37E6"/>
    <w:rsid w:val="007D4D66"/>
    <w:rsid w:val="007E240B"/>
    <w:rsid w:val="007E24F7"/>
    <w:rsid w:val="007E30D5"/>
    <w:rsid w:val="007E4C11"/>
    <w:rsid w:val="007E6ABF"/>
    <w:rsid w:val="007F0269"/>
    <w:rsid w:val="007F0642"/>
    <w:rsid w:val="007F69F4"/>
    <w:rsid w:val="00801E32"/>
    <w:rsid w:val="0080305F"/>
    <w:rsid w:val="008111D1"/>
    <w:rsid w:val="0081359D"/>
    <w:rsid w:val="008176A3"/>
    <w:rsid w:val="0082321D"/>
    <w:rsid w:val="0082356A"/>
    <w:rsid w:val="00825FA3"/>
    <w:rsid w:val="00835598"/>
    <w:rsid w:val="008441B1"/>
    <w:rsid w:val="00851170"/>
    <w:rsid w:val="00853781"/>
    <w:rsid w:val="008607FE"/>
    <w:rsid w:val="00860FB3"/>
    <w:rsid w:val="00862662"/>
    <w:rsid w:val="0086320A"/>
    <w:rsid w:val="0087502A"/>
    <w:rsid w:val="00875CBE"/>
    <w:rsid w:val="0087755B"/>
    <w:rsid w:val="008810CB"/>
    <w:rsid w:val="00883AD4"/>
    <w:rsid w:val="00886F12"/>
    <w:rsid w:val="0089476F"/>
    <w:rsid w:val="008A01B8"/>
    <w:rsid w:val="008A3FA3"/>
    <w:rsid w:val="008A5864"/>
    <w:rsid w:val="008B0717"/>
    <w:rsid w:val="008B1AE5"/>
    <w:rsid w:val="008B1D13"/>
    <w:rsid w:val="008B2E48"/>
    <w:rsid w:val="008B5587"/>
    <w:rsid w:val="008B6941"/>
    <w:rsid w:val="008B6EC3"/>
    <w:rsid w:val="008C0F97"/>
    <w:rsid w:val="008C182C"/>
    <w:rsid w:val="008D35C0"/>
    <w:rsid w:val="008D6BA1"/>
    <w:rsid w:val="008E2BCD"/>
    <w:rsid w:val="008E33B0"/>
    <w:rsid w:val="008E622E"/>
    <w:rsid w:val="008E681F"/>
    <w:rsid w:val="008F1BD1"/>
    <w:rsid w:val="00902E9D"/>
    <w:rsid w:val="00903440"/>
    <w:rsid w:val="009044B0"/>
    <w:rsid w:val="009072BE"/>
    <w:rsid w:val="00913A6F"/>
    <w:rsid w:val="00920CE9"/>
    <w:rsid w:val="009232CD"/>
    <w:rsid w:val="00925637"/>
    <w:rsid w:val="00927236"/>
    <w:rsid w:val="0092748A"/>
    <w:rsid w:val="00932635"/>
    <w:rsid w:val="00933F2F"/>
    <w:rsid w:val="00936BEE"/>
    <w:rsid w:val="00947515"/>
    <w:rsid w:val="00947742"/>
    <w:rsid w:val="009507BA"/>
    <w:rsid w:val="00954114"/>
    <w:rsid w:val="00955BD1"/>
    <w:rsid w:val="00957778"/>
    <w:rsid w:val="00967F84"/>
    <w:rsid w:val="00996F64"/>
    <w:rsid w:val="009A2F82"/>
    <w:rsid w:val="009C70D7"/>
    <w:rsid w:val="009D6119"/>
    <w:rsid w:val="009D62CD"/>
    <w:rsid w:val="009D6FB3"/>
    <w:rsid w:val="009D7B91"/>
    <w:rsid w:val="009F2272"/>
    <w:rsid w:val="00A0070A"/>
    <w:rsid w:val="00A12677"/>
    <w:rsid w:val="00A143C8"/>
    <w:rsid w:val="00A1528C"/>
    <w:rsid w:val="00A21AC6"/>
    <w:rsid w:val="00A22A04"/>
    <w:rsid w:val="00A24B8E"/>
    <w:rsid w:val="00A27B5A"/>
    <w:rsid w:val="00A30E71"/>
    <w:rsid w:val="00A31BAF"/>
    <w:rsid w:val="00A35120"/>
    <w:rsid w:val="00A352EE"/>
    <w:rsid w:val="00A362E4"/>
    <w:rsid w:val="00A37322"/>
    <w:rsid w:val="00A37993"/>
    <w:rsid w:val="00A44431"/>
    <w:rsid w:val="00A44677"/>
    <w:rsid w:val="00A4669E"/>
    <w:rsid w:val="00A47F2C"/>
    <w:rsid w:val="00A51D08"/>
    <w:rsid w:val="00A5401A"/>
    <w:rsid w:val="00A56757"/>
    <w:rsid w:val="00A57D3D"/>
    <w:rsid w:val="00A66384"/>
    <w:rsid w:val="00A6656F"/>
    <w:rsid w:val="00A666D5"/>
    <w:rsid w:val="00A67FCB"/>
    <w:rsid w:val="00A72CDE"/>
    <w:rsid w:val="00A74315"/>
    <w:rsid w:val="00A744F2"/>
    <w:rsid w:val="00A976E3"/>
    <w:rsid w:val="00AA64C4"/>
    <w:rsid w:val="00AB12B7"/>
    <w:rsid w:val="00AB1D72"/>
    <w:rsid w:val="00AB3533"/>
    <w:rsid w:val="00AB589C"/>
    <w:rsid w:val="00AB61FC"/>
    <w:rsid w:val="00AB6DEB"/>
    <w:rsid w:val="00AC1A0D"/>
    <w:rsid w:val="00AC6C09"/>
    <w:rsid w:val="00AD218F"/>
    <w:rsid w:val="00AD3018"/>
    <w:rsid w:val="00AD63BF"/>
    <w:rsid w:val="00AD7FD3"/>
    <w:rsid w:val="00AE1BF4"/>
    <w:rsid w:val="00AE1E6C"/>
    <w:rsid w:val="00AE49D8"/>
    <w:rsid w:val="00B01855"/>
    <w:rsid w:val="00B019EC"/>
    <w:rsid w:val="00B03407"/>
    <w:rsid w:val="00B04475"/>
    <w:rsid w:val="00B10157"/>
    <w:rsid w:val="00B136E4"/>
    <w:rsid w:val="00B26701"/>
    <w:rsid w:val="00B3381B"/>
    <w:rsid w:val="00B3675B"/>
    <w:rsid w:val="00B40728"/>
    <w:rsid w:val="00B42CC5"/>
    <w:rsid w:val="00B4677C"/>
    <w:rsid w:val="00B51335"/>
    <w:rsid w:val="00B55015"/>
    <w:rsid w:val="00B5684F"/>
    <w:rsid w:val="00B6597C"/>
    <w:rsid w:val="00B76B35"/>
    <w:rsid w:val="00B80BAC"/>
    <w:rsid w:val="00B86C4D"/>
    <w:rsid w:val="00B87FE1"/>
    <w:rsid w:val="00B90D2B"/>
    <w:rsid w:val="00BA0865"/>
    <w:rsid w:val="00BA2B0D"/>
    <w:rsid w:val="00BB4ECC"/>
    <w:rsid w:val="00BB5549"/>
    <w:rsid w:val="00BB7042"/>
    <w:rsid w:val="00BC2549"/>
    <w:rsid w:val="00BD2F28"/>
    <w:rsid w:val="00BE6A24"/>
    <w:rsid w:val="00BF1532"/>
    <w:rsid w:val="00BF793F"/>
    <w:rsid w:val="00C01D7D"/>
    <w:rsid w:val="00C037A2"/>
    <w:rsid w:val="00C06C2F"/>
    <w:rsid w:val="00C07E55"/>
    <w:rsid w:val="00C17A91"/>
    <w:rsid w:val="00C32209"/>
    <w:rsid w:val="00C41307"/>
    <w:rsid w:val="00C4505C"/>
    <w:rsid w:val="00C5034D"/>
    <w:rsid w:val="00C543A9"/>
    <w:rsid w:val="00C54806"/>
    <w:rsid w:val="00C561FD"/>
    <w:rsid w:val="00C56DB8"/>
    <w:rsid w:val="00C62C21"/>
    <w:rsid w:val="00C640E8"/>
    <w:rsid w:val="00C665CD"/>
    <w:rsid w:val="00C7220D"/>
    <w:rsid w:val="00C7306F"/>
    <w:rsid w:val="00C7405A"/>
    <w:rsid w:val="00C804E9"/>
    <w:rsid w:val="00C92F1C"/>
    <w:rsid w:val="00C93D34"/>
    <w:rsid w:val="00C94948"/>
    <w:rsid w:val="00C94B78"/>
    <w:rsid w:val="00C95844"/>
    <w:rsid w:val="00C96288"/>
    <w:rsid w:val="00C97A7C"/>
    <w:rsid w:val="00CA0B98"/>
    <w:rsid w:val="00CA480D"/>
    <w:rsid w:val="00CB08DD"/>
    <w:rsid w:val="00CB4DDA"/>
    <w:rsid w:val="00CB5843"/>
    <w:rsid w:val="00CC1E28"/>
    <w:rsid w:val="00CC2BBF"/>
    <w:rsid w:val="00CC3231"/>
    <w:rsid w:val="00CD27C6"/>
    <w:rsid w:val="00CE0AC3"/>
    <w:rsid w:val="00CE45BA"/>
    <w:rsid w:val="00CE491E"/>
    <w:rsid w:val="00CE4B2A"/>
    <w:rsid w:val="00CE7BF0"/>
    <w:rsid w:val="00CF298B"/>
    <w:rsid w:val="00CF5E75"/>
    <w:rsid w:val="00CF74FB"/>
    <w:rsid w:val="00D06F9D"/>
    <w:rsid w:val="00D12968"/>
    <w:rsid w:val="00D12CB4"/>
    <w:rsid w:val="00D1584D"/>
    <w:rsid w:val="00D15999"/>
    <w:rsid w:val="00D15AA5"/>
    <w:rsid w:val="00D163B9"/>
    <w:rsid w:val="00D17E6E"/>
    <w:rsid w:val="00D22337"/>
    <w:rsid w:val="00D26413"/>
    <w:rsid w:val="00D26DF5"/>
    <w:rsid w:val="00D320E9"/>
    <w:rsid w:val="00D43C1B"/>
    <w:rsid w:val="00D501C2"/>
    <w:rsid w:val="00D505E2"/>
    <w:rsid w:val="00D535A1"/>
    <w:rsid w:val="00D547AD"/>
    <w:rsid w:val="00D570DA"/>
    <w:rsid w:val="00D57AC1"/>
    <w:rsid w:val="00D60231"/>
    <w:rsid w:val="00D6414B"/>
    <w:rsid w:val="00D665D1"/>
    <w:rsid w:val="00D669FC"/>
    <w:rsid w:val="00D7459B"/>
    <w:rsid w:val="00D80305"/>
    <w:rsid w:val="00D81B9C"/>
    <w:rsid w:val="00D83618"/>
    <w:rsid w:val="00D84894"/>
    <w:rsid w:val="00D910AC"/>
    <w:rsid w:val="00D97493"/>
    <w:rsid w:val="00DA5D2D"/>
    <w:rsid w:val="00DB15C0"/>
    <w:rsid w:val="00DB2EA1"/>
    <w:rsid w:val="00DB5EFF"/>
    <w:rsid w:val="00DC66AF"/>
    <w:rsid w:val="00DC66DE"/>
    <w:rsid w:val="00DD1322"/>
    <w:rsid w:val="00DD311D"/>
    <w:rsid w:val="00DD4D00"/>
    <w:rsid w:val="00DE29B2"/>
    <w:rsid w:val="00DE42A6"/>
    <w:rsid w:val="00DE5042"/>
    <w:rsid w:val="00DF32E4"/>
    <w:rsid w:val="00E02609"/>
    <w:rsid w:val="00E04349"/>
    <w:rsid w:val="00E04A87"/>
    <w:rsid w:val="00E139BB"/>
    <w:rsid w:val="00E14817"/>
    <w:rsid w:val="00E14DD5"/>
    <w:rsid w:val="00E311EB"/>
    <w:rsid w:val="00E32533"/>
    <w:rsid w:val="00E325F1"/>
    <w:rsid w:val="00E338B9"/>
    <w:rsid w:val="00E34223"/>
    <w:rsid w:val="00E34611"/>
    <w:rsid w:val="00E3595B"/>
    <w:rsid w:val="00E37FCE"/>
    <w:rsid w:val="00E45808"/>
    <w:rsid w:val="00E45A5A"/>
    <w:rsid w:val="00E46C08"/>
    <w:rsid w:val="00E47B59"/>
    <w:rsid w:val="00E62C9B"/>
    <w:rsid w:val="00E63150"/>
    <w:rsid w:val="00E713B4"/>
    <w:rsid w:val="00E7255A"/>
    <w:rsid w:val="00E7551C"/>
    <w:rsid w:val="00E75AD2"/>
    <w:rsid w:val="00E906D8"/>
    <w:rsid w:val="00E909F4"/>
    <w:rsid w:val="00E91B01"/>
    <w:rsid w:val="00E92AC2"/>
    <w:rsid w:val="00E941A7"/>
    <w:rsid w:val="00E955FE"/>
    <w:rsid w:val="00E96B19"/>
    <w:rsid w:val="00E96B7B"/>
    <w:rsid w:val="00E977A6"/>
    <w:rsid w:val="00EA14FF"/>
    <w:rsid w:val="00EB26FC"/>
    <w:rsid w:val="00EB5DC5"/>
    <w:rsid w:val="00EC6C42"/>
    <w:rsid w:val="00ED6E53"/>
    <w:rsid w:val="00ED7BBA"/>
    <w:rsid w:val="00EE776A"/>
    <w:rsid w:val="00EF0D34"/>
    <w:rsid w:val="00F00662"/>
    <w:rsid w:val="00F01818"/>
    <w:rsid w:val="00F0271D"/>
    <w:rsid w:val="00F03604"/>
    <w:rsid w:val="00F039D3"/>
    <w:rsid w:val="00F04509"/>
    <w:rsid w:val="00F137A9"/>
    <w:rsid w:val="00F1662D"/>
    <w:rsid w:val="00F204D2"/>
    <w:rsid w:val="00F2407D"/>
    <w:rsid w:val="00F3133E"/>
    <w:rsid w:val="00F34E24"/>
    <w:rsid w:val="00F35B47"/>
    <w:rsid w:val="00F40A71"/>
    <w:rsid w:val="00F40BCB"/>
    <w:rsid w:val="00F41CEC"/>
    <w:rsid w:val="00F44B63"/>
    <w:rsid w:val="00F4560B"/>
    <w:rsid w:val="00F46044"/>
    <w:rsid w:val="00F50648"/>
    <w:rsid w:val="00F53A1F"/>
    <w:rsid w:val="00F54670"/>
    <w:rsid w:val="00F60B6A"/>
    <w:rsid w:val="00F63D1D"/>
    <w:rsid w:val="00F662AC"/>
    <w:rsid w:val="00F72BD4"/>
    <w:rsid w:val="00F8554D"/>
    <w:rsid w:val="00F86813"/>
    <w:rsid w:val="00F87B66"/>
    <w:rsid w:val="00F9113D"/>
    <w:rsid w:val="00F9556C"/>
    <w:rsid w:val="00FA30FA"/>
    <w:rsid w:val="00FA42D5"/>
    <w:rsid w:val="00FB113A"/>
    <w:rsid w:val="00FC4D92"/>
    <w:rsid w:val="00FC5100"/>
    <w:rsid w:val="00FD2F82"/>
    <w:rsid w:val="00FD39C8"/>
    <w:rsid w:val="00FD4538"/>
    <w:rsid w:val="00FD5F68"/>
    <w:rsid w:val="00FE449A"/>
    <w:rsid w:val="00FE493B"/>
    <w:rsid w:val="00FE6950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FD99-8816-46BA-8D80-E5B2A2D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77</cp:revision>
  <cp:lastPrinted>2022-12-12T10:36:00Z</cp:lastPrinted>
  <dcterms:created xsi:type="dcterms:W3CDTF">2022-06-15T11:24:00Z</dcterms:created>
  <dcterms:modified xsi:type="dcterms:W3CDTF">2022-12-12T10:39:00Z</dcterms:modified>
</cp:coreProperties>
</file>