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4E" w:rsidRPr="005B36FC" w:rsidRDefault="009E4B4E" w:rsidP="009E4B4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36FC">
        <w:rPr>
          <w:rFonts w:ascii="Times New Roman" w:hAnsi="Times New Roman" w:cs="Times New Roman"/>
          <w:sz w:val="24"/>
          <w:szCs w:val="24"/>
        </w:rPr>
        <w:t>Проект</w:t>
      </w:r>
    </w:p>
    <w:p w:rsidR="009E4B4E" w:rsidRPr="005B36FC" w:rsidRDefault="009E4B4E" w:rsidP="009E4B4E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B36FC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9E4B4E" w:rsidRPr="005B36FC" w:rsidRDefault="009E4B4E" w:rsidP="009E4B4E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B36FC">
        <w:rPr>
          <w:rFonts w:ascii="Times New Roman" w:hAnsi="Times New Roman"/>
          <w:bCs/>
          <w:sz w:val="28"/>
          <w:szCs w:val="28"/>
        </w:rPr>
        <w:t>АДМИНИСТРАЦИЯ  ГОРОДСКОГО  ОКРУГА  ТОЛЬЯТТИ</w:t>
      </w:r>
    </w:p>
    <w:p w:rsidR="009E4B4E" w:rsidRPr="005B36FC" w:rsidRDefault="009E4B4E" w:rsidP="009E4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4B4E" w:rsidRPr="005B36FC" w:rsidRDefault="009E4B4E" w:rsidP="009E4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B36FC">
        <w:rPr>
          <w:rFonts w:ascii="Times New Roman" w:hAnsi="Times New Roman"/>
          <w:sz w:val="28"/>
          <w:szCs w:val="28"/>
        </w:rPr>
        <w:t>________________ № ________</w:t>
      </w:r>
      <w:r>
        <w:rPr>
          <w:rFonts w:ascii="Times New Roman" w:hAnsi="Times New Roman"/>
          <w:sz w:val="28"/>
          <w:szCs w:val="28"/>
        </w:rPr>
        <w:t>____</w:t>
      </w:r>
      <w:r w:rsidRPr="005B36FC">
        <w:rPr>
          <w:rFonts w:ascii="Times New Roman" w:hAnsi="Times New Roman"/>
          <w:sz w:val="28"/>
          <w:szCs w:val="28"/>
        </w:rPr>
        <w:t>_</w:t>
      </w:r>
    </w:p>
    <w:p w:rsidR="009E4B4E" w:rsidRPr="005B36FC" w:rsidRDefault="009E4B4E" w:rsidP="009E4B4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B36FC">
        <w:rPr>
          <w:rFonts w:ascii="Times New Roman" w:hAnsi="Times New Roman"/>
          <w:sz w:val="24"/>
          <w:szCs w:val="24"/>
        </w:rPr>
        <w:t>г. Тольятти Самарской области</w:t>
      </w:r>
    </w:p>
    <w:p w:rsidR="009E4B4E" w:rsidRPr="005B36FC" w:rsidRDefault="009E4B4E" w:rsidP="009E4B4E">
      <w:pPr>
        <w:spacing w:after="0" w:line="360" w:lineRule="auto"/>
        <w:jc w:val="center"/>
        <w:rPr>
          <w:sz w:val="28"/>
          <w:szCs w:val="28"/>
        </w:rPr>
      </w:pPr>
    </w:p>
    <w:p w:rsidR="009E4B4E" w:rsidRDefault="009E4B4E" w:rsidP="009E4B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853D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9E4B4E" w:rsidRDefault="009E4B4E" w:rsidP="009E4B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853D9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от 21.02.2020 г. № 552-п/1 </w:t>
      </w:r>
    </w:p>
    <w:p w:rsidR="009E4B4E" w:rsidRPr="007853D9" w:rsidRDefault="009E4B4E" w:rsidP="009E4B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853D9">
        <w:rPr>
          <w:rFonts w:ascii="Times New Roman" w:hAnsi="Times New Roman" w:cs="Times New Roman"/>
          <w:sz w:val="28"/>
          <w:szCs w:val="28"/>
        </w:rPr>
        <w:t>«</w:t>
      </w:r>
      <w:r w:rsidRPr="007853D9">
        <w:rPr>
          <w:rFonts w:ascii="Times New Roman" w:hAnsi="Times New Roman" w:cs="Times New Roman"/>
          <w:bCs/>
          <w:sz w:val="28"/>
          <w:szCs w:val="28"/>
        </w:rPr>
        <w:t xml:space="preserve">Об утверждении Документа планирования регулярных перевозок </w:t>
      </w:r>
      <w:r w:rsidRPr="007853D9">
        <w:rPr>
          <w:rFonts w:ascii="Times New Roman" w:hAnsi="Times New Roman" w:cs="Times New Roman"/>
          <w:sz w:val="28"/>
          <w:szCs w:val="28"/>
        </w:rPr>
        <w:t xml:space="preserve">по муниципальным маршрутам </w:t>
      </w:r>
      <w:r w:rsidRPr="007853D9">
        <w:rPr>
          <w:rFonts w:ascii="Times New Roman" w:hAnsi="Times New Roman" w:cs="Times New Roman"/>
          <w:bCs/>
          <w:sz w:val="28"/>
          <w:szCs w:val="28"/>
        </w:rPr>
        <w:t>городского округа Тольятти</w:t>
      </w:r>
      <w:r w:rsidRPr="007853D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9E4B4E" w:rsidRPr="007853D9" w:rsidRDefault="009E4B4E" w:rsidP="009E4B4E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E4B4E" w:rsidRPr="00882997" w:rsidRDefault="009E4B4E" w:rsidP="009E4B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2997">
        <w:rPr>
          <w:rFonts w:ascii="Times New Roman" w:hAnsi="Times New Roman"/>
          <w:sz w:val="28"/>
          <w:szCs w:val="28"/>
        </w:rPr>
        <w:t xml:space="preserve">В целях упорядочения, обеспечения бесперебойного и эффективного функционирования регулярных перевозок в городском округе Тольятти, </w:t>
      </w:r>
      <w:r w:rsidRPr="0088299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882997">
        <w:rPr>
          <w:rFonts w:ascii="Times New Roman" w:hAnsi="Times New Roman" w:cs="Times New Roman"/>
          <w:sz w:val="28"/>
          <w:szCs w:val="28"/>
        </w:rPr>
        <w:t>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</w:t>
      </w:r>
      <w:r w:rsidRPr="00882997">
        <w:rPr>
          <w:rFonts w:ascii="Times New Roman" w:hAnsi="Times New Roman"/>
          <w:sz w:val="28"/>
          <w:szCs w:val="28"/>
        </w:rPr>
        <w:t xml:space="preserve"> транспортом в Российской Федерации и о внесении изменений в отдельные законодательные акты Российской Федерации», за</w:t>
      </w:r>
      <w:r w:rsidRPr="00882997">
        <w:rPr>
          <w:rFonts w:ascii="Times New Roman" w:hAnsi="Times New Roman" w:cs="Times New Roman"/>
          <w:sz w:val="28"/>
          <w:szCs w:val="28"/>
        </w:rPr>
        <w:t>коном Самарской области от 18.01.2016 № 14-ГД «Об организации регулярных перевозок пассажиров</w:t>
      </w:r>
      <w:proofErr w:type="gramEnd"/>
      <w:r w:rsidRPr="008829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2997">
        <w:rPr>
          <w:rFonts w:ascii="Times New Roman" w:hAnsi="Times New Roman" w:cs="Times New Roman"/>
          <w:sz w:val="28"/>
          <w:szCs w:val="28"/>
        </w:rPr>
        <w:t>и багажа автомобильным транспортом и городским наземных электрическим транспортом на территории Самарской области,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</w:t>
      </w:r>
      <w:r w:rsidRPr="00882997">
        <w:rPr>
          <w:rFonts w:ascii="Times New Roman" w:hAnsi="Times New Roman"/>
          <w:sz w:val="28"/>
          <w:szCs w:val="28"/>
        </w:rPr>
        <w:t>», руководствуясь Уставом городского округа Тольятти, администрация городского округа Тольятти ПОСТАНОВЛЯЕТ:</w:t>
      </w:r>
      <w:proofErr w:type="gramEnd"/>
    </w:p>
    <w:p w:rsidR="009E4B4E" w:rsidRDefault="009E4B4E" w:rsidP="009E4B4E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882997">
        <w:rPr>
          <w:rFonts w:ascii="Times New Roman" w:hAnsi="Times New Roman"/>
          <w:sz w:val="28"/>
          <w:szCs w:val="28"/>
        </w:rPr>
        <w:t xml:space="preserve">1. Внести в </w:t>
      </w:r>
      <w:r w:rsidRPr="00882997">
        <w:rPr>
          <w:rFonts w:ascii="Times New Roman" w:hAnsi="Times New Roman"/>
          <w:bCs/>
          <w:sz w:val="28"/>
          <w:szCs w:val="28"/>
        </w:rPr>
        <w:t xml:space="preserve">Документ планирования регулярных перевозок  городского округа Тольятти, утвержденный постановлением </w:t>
      </w:r>
      <w:r w:rsidRPr="00882997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от 21.02.2020 № 552-п/1</w:t>
      </w:r>
      <w:r w:rsidRPr="00882997">
        <w:rPr>
          <w:rFonts w:ascii="Times New Roman" w:hAnsi="Times New Roman"/>
          <w:bCs/>
          <w:sz w:val="28"/>
          <w:szCs w:val="28"/>
        </w:rPr>
        <w:t xml:space="preserve">, </w:t>
      </w:r>
      <w:r w:rsidRPr="00882997">
        <w:rPr>
          <w:rFonts w:ascii="Times New Roman" w:hAnsi="Times New Roman"/>
          <w:sz w:val="28"/>
          <w:szCs w:val="28"/>
        </w:rPr>
        <w:t>(газета «Городские ведомости», 2020, 28 февраля; 2022, 15 марта; 2023, 21 февраля; 2023 7 апреля) изменения</w:t>
      </w:r>
      <w:r>
        <w:rPr>
          <w:rFonts w:ascii="Times New Roman" w:hAnsi="Times New Roman"/>
          <w:sz w:val="28"/>
          <w:szCs w:val="28"/>
        </w:rPr>
        <w:t>, изложив р</w:t>
      </w:r>
      <w:r w:rsidRPr="00882997">
        <w:rPr>
          <w:rFonts w:ascii="Times New Roman" w:hAnsi="Times New Roman"/>
          <w:sz w:val="28"/>
          <w:szCs w:val="28"/>
        </w:rPr>
        <w:t xml:space="preserve">аздел </w:t>
      </w:r>
      <w:r w:rsidRPr="00882997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Pr="00882997">
        <w:rPr>
          <w:rFonts w:ascii="Times New Roman" w:eastAsia="Calibri" w:hAnsi="Times New Roman"/>
          <w:sz w:val="28"/>
          <w:szCs w:val="28"/>
          <w:lang w:eastAsia="en-US"/>
        </w:rPr>
        <w:t xml:space="preserve"> в следующей редакции:</w:t>
      </w:r>
    </w:p>
    <w:p w:rsidR="009E4B4E" w:rsidRPr="00882997" w:rsidRDefault="009E4B4E" w:rsidP="009E4B4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882997">
        <w:rPr>
          <w:rFonts w:ascii="Times New Roman" w:hAnsi="Times New Roman" w:cs="Times New Roman"/>
          <w:sz w:val="28"/>
          <w:szCs w:val="28"/>
        </w:rPr>
        <w:t>«</w:t>
      </w:r>
      <w:r w:rsidRPr="0088299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II. АНАЛИЗ ТЕКУЩЕГО СОСТОЯНИЯ ОРГАНИЗАЦИИ</w:t>
      </w:r>
    </w:p>
    <w:p w:rsidR="009E4B4E" w:rsidRPr="00882997" w:rsidRDefault="009E4B4E" w:rsidP="009E4B4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88299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РЕГУЛЯРНЫХ ПЕРЕВОЗОК</w:t>
      </w:r>
    </w:p>
    <w:p w:rsidR="009E4B4E" w:rsidRPr="00882997" w:rsidRDefault="009E4B4E" w:rsidP="009E4B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Пассажирский транспорт является важнейшим элементом сферы обслуживания населения, без которого невозможно нормальное функционирование общества и экономики. Пассажирский транспорт должен удовлетворять потребность населения в передвижениях, вызванную производственными, бытовыми, культурными потребностями. Стабильное </w:t>
      </w:r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lastRenderedPageBreak/>
        <w:t>функционирование городского пассажирского транспорта обеспечивает достойное качество жизни населения, эффективность работы отраслей экономики города и возможность использования его градостроительного и социально-экономического потенциала.</w:t>
      </w:r>
    </w:p>
    <w:p w:rsidR="009E4B4E" w:rsidRPr="00882997" w:rsidRDefault="009E4B4E" w:rsidP="009E4B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Основополагающая роль пассажирского транспорта заключается в экономии времени населения, затрачиваемого на передвижение, увеличении географии поездок. Городской пассажирский транспорт обеспечивает функционирование отраслей хозяйственного комплекса путем доставки сотрудников предприятий, организаций к рабочим местам. Социальный эффект от развития городского пассажирского транспорта проявляется в улучшении доступности учреждений образования, медицины, культуры, торговли, что способствует удовлетворению спроса населения на различные услуги.</w:t>
      </w:r>
    </w:p>
    <w:p w:rsidR="009E4B4E" w:rsidRPr="00882997" w:rsidRDefault="009E4B4E" w:rsidP="009E4B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Городской округ Тольятти сформирован из трех районов (Автозаводский, Центральный и Комсомольский) разных планировочных решений. Все три района города вытянуты вдоль течения Волги на расстоянии 40 км. Расстояние между Центральным и Комсомольским районами - 5 - 7 км, между Центральным и Автозаводским - около 3 км. Все три района города имеют достаточно развитое транспортное сообщение как внутри районов, так и между районами. Маршрутная сеть наземного общественного пассажирского транспорта городского округа Тольятти практически полностью охватывает жилые, производственные районы города, транспортные узлы, места приложения труда и отдыха населения.</w:t>
      </w:r>
    </w:p>
    <w:p w:rsidR="009E4B4E" w:rsidRPr="00882997" w:rsidRDefault="009E4B4E" w:rsidP="009E4B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proofErr w:type="gramStart"/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Спецификой пассажирских перевозок в городском округе Тольятти является необходимость организации пассажирских перевозок по территории города и одновременно осуществления массовых перевозок в "пиковом" режиме на промышленные предприятия города (</w:t>
      </w:r>
      <w:proofErr w:type="spellStart"/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промплощадка</w:t>
      </w:r>
      <w:proofErr w:type="spellEnd"/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АО "АВТОВАЗ", Северная группа заводов, ОАО "</w:t>
      </w:r>
      <w:proofErr w:type="spellStart"/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ТольяттиАзот</w:t>
      </w:r>
      <w:proofErr w:type="spellEnd"/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"), которые расположены на удалении от селитебной зоны, что требует организации работы отдельных маршрутов до промпредприятий, которые необходимо организовать без ущерба транспортной доступности жителей по территории</w:t>
      </w:r>
      <w:proofErr w:type="gramEnd"/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селитебной зоны города.</w:t>
      </w:r>
    </w:p>
    <w:p w:rsidR="009E4B4E" w:rsidRPr="00882997" w:rsidRDefault="009E4B4E" w:rsidP="009E4B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Система городского пассажирского транспорта городского округа Тольятти является комбинированной, состоящей из троллейбусного и автобусного транспорта.</w:t>
      </w:r>
    </w:p>
    <w:p w:rsidR="009E4B4E" w:rsidRDefault="009E4B4E" w:rsidP="009E4B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В связи с окончанием действия 31.12.2019 г. </w:t>
      </w:r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договор</w:t>
      </w: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ов</w:t>
      </w:r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об осуществлении регулярных перевозок по внутримуниципальным маршрутам </w:t>
      </w:r>
      <w:proofErr w:type="spellStart"/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г.о</w:t>
      </w:r>
      <w:proofErr w:type="spellEnd"/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. Тольятти, заключенным мэрией </w:t>
      </w:r>
      <w:proofErr w:type="spellStart"/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г.о</w:t>
      </w:r>
      <w:proofErr w:type="spellEnd"/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. Тольятти с организациями-</w:t>
      </w:r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lastRenderedPageBreak/>
        <w:t>перевозчиками по результатам открытого конкурса</w:t>
      </w: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, с 2020 года р</w:t>
      </w:r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егулярные перевозки по муниципальным маршрутам </w:t>
      </w:r>
      <w:r w:rsidRPr="008169A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осуществляются на основании</w:t>
      </w: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:</w:t>
      </w:r>
    </w:p>
    <w:p w:rsidR="009E4B4E" w:rsidRPr="008169A2" w:rsidRDefault="009E4B4E" w:rsidP="009E4B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1. М</w:t>
      </w:r>
      <w:r w:rsidRPr="008169A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униципальных контрактов на выполнение работ, связанных с осуществлением регулярных перевозок пассажиров и багажа по регулируемым тарифам по муниципальным маршрутам городского округа Тольятти (далее – Контракт). </w:t>
      </w:r>
      <w:proofErr w:type="gramStart"/>
      <w:r w:rsidRPr="008169A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Контракты заключаются по результатам проведения открытых конкурсов в соответствии с законодательством </w:t>
      </w:r>
      <w:r w:rsidRPr="008169A2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Федерального закона</w:t>
      </w:r>
      <w:r w:rsidRPr="008169A2">
        <w:rPr>
          <w:rFonts w:ascii="Times New Roman" w:hAnsi="Times New Roman"/>
          <w:sz w:val="28"/>
          <w:szCs w:val="28"/>
        </w:rPr>
        <w:t xml:space="preserve">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9E4B4E" w:rsidRDefault="009E4B4E" w:rsidP="009E4B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2. С</w:t>
      </w:r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видетельств об осуществлении перевозок по одному или нескольким муниципальным маршрутам регулярных перевозок по нерегулируемым тарифам</w:t>
      </w: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.</w:t>
      </w:r>
    </w:p>
    <w:p w:rsidR="009E4B4E" w:rsidRPr="00882997" w:rsidRDefault="009E4B4E" w:rsidP="009E4B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По состоянию на 01.08.2023 р</w:t>
      </w:r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егулярные перевозки в городском округе Тольятти осуществляют 13 организаций по 10</w:t>
      </w: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3</w:t>
      </w:r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муниципальным маршрутам.</w:t>
      </w:r>
    </w:p>
    <w:p w:rsidR="009E4B4E" w:rsidRPr="00882997" w:rsidRDefault="009E4B4E" w:rsidP="009E4B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Регулярные перевозки осуществляются:</w:t>
      </w:r>
    </w:p>
    <w:p w:rsidR="009E4B4E" w:rsidRPr="00882997" w:rsidRDefault="009E4B4E" w:rsidP="009E4B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1) по регулируемым тарифам (50 маршрутов):</w:t>
      </w:r>
    </w:p>
    <w:p w:rsidR="009E4B4E" w:rsidRPr="00882997" w:rsidRDefault="009E4B4E" w:rsidP="009E4B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- МП "Тольяттинское пассажирское автотранспортное предприятие </w:t>
      </w: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№</w:t>
      </w:r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3" - по </w:t>
      </w: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40</w:t>
      </w:r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маршрутам (</w:t>
      </w: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№№</w:t>
      </w:r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2, 6, 8, 9, 13, 14в, 16в, 17, 18в, 20, 21в, 23в, 24в, 28в, 36в, 38в, 40, 41, 42, 46, 52, 62, </w:t>
      </w: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64, </w:t>
      </w:r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72в, 73, 84, 55к, 62к, 66к, 67к, 84к, 87к, 25д, 42д, 56д, 252Ю, 252Р, 252М, 252Я, 252А);</w:t>
      </w:r>
    </w:p>
    <w:p w:rsidR="009E4B4E" w:rsidRPr="00882997" w:rsidRDefault="009E4B4E" w:rsidP="009E4B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- МП "Тольяттинское </w:t>
      </w: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троллейбусное управление" - по 9</w:t>
      </w:r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маршрутам (</w:t>
      </w: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№№</w:t>
      </w:r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1, 2, 4, 7, </w:t>
      </w: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13, 14, 18, 21, 22</w:t>
      </w:r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);</w:t>
      </w:r>
    </w:p>
    <w:p w:rsidR="009E4B4E" w:rsidRPr="00882997" w:rsidRDefault="009E4B4E" w:rsidP="009E4B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2) по нерегулируемым тарифам (5</w:t>
      </w: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3</w:t>
      </w:r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маршрута):</w:t>
      </w:r>
    </w:p>
    <w:p w:rsidR="009E4B4E" w:rsidRPr="00882997" w:rsidRDefault="009E4B4E" w:rsidP="009E4B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- МП "Тольяттинское пассажирское автотранспортное предприятие </w:t>
      </w: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№</w:t>
      </w:r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3" - по 24 маршрутам (</w:t>
      </w: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№№</w:t>
      </w:r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12, 14, 15, 16, 18, 19, 21, 22, 23, 24, 27, 28, 30, 35, 36, 37, 38, 71, 72, 76, 77, 5т, 9т, 11т);</w:t>
      </w:r>
    </w:p>
    <w:p w:rsidR="009E4B4E" w:rsidRPr="00882997" w:rsidRDefault="009E4B4E" w:rsidP="009E4B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- 11 организаций иных форм собственности - по </w:t>
      </w: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29</w:t>
      </w:r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маршрутам (</w:t>
      </w: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№№</w:t>
      </w:r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91, 93, 93к, 94, 95, 96, 99, 102, 108, 115, 116, 117, 118, 119, 124, 126, 127, 130, 131, 132, 134, 136, 142, 143, 149, 153, 211, 129, 201).</w:t>
      </w:r>
    </w:p>
    <w:p w:rsidR="009E4B4E" w:rsidRPr="00882997" w:rsidRDefault="009E4B4E" w:rsidP="009E4B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Развитие транспортной системы городского округа Тольятти является необходимым условием улучшения качества жизни населения. Дальнейшее развитие сети городского пассажирского транспорта взаимосвязано с развитием города. С одной стороны, расположение районов города, количество населения в них, а также количество рабочих мест формируют объемы и направления пассажиропотоков, определяют нагрузку на </w:t>
      </w:r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lastRenderedPageBreak/>
        <w:t>пассажирский транспорт. С другой стороны, развитие транспорта способствует освоению новых жилых районов, делает доступными и удобными для горожан новые рабочие места и объекты культурно-бытового назначения.</w:t>
      </w:r>
    </w:p>
    <w:p w:rsidR="009E4B4E" w:rsidRPr="00882997" w:rsidRDefault="009E4B4E" w:rsidP="009E4B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В настоящее время в городском округе Тольятти продолжается строительство новых жилых кварталов (западнее Московского </w:t>
      </w:r>
      <w:proofErr w:type="spellStart"/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пр</w:t>
      </w:r>
      <w:proofErr w:type="spellEnd"/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-та в Автозаводском районе, севернее ул. Л. Толстого в Центральном районе).</w:t>
      </w:r>
    </w:p>
    <w:p w:rsidR="009E4B4E" w:rsidRDefault="009E4B4E" w:rsidP="009E4B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Идет развитие (увеличение количества рези</w:t>
      </w:r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дентов</w:t>
      </w: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)</w:t>
      </w:r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на территории технопарка "Жигулевская долина"</w:t>
      </w: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, на </w:t>
      </w:r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территории особой экономической зоны промышленно-производственного типа "Тольятти"</w:t>
      </w: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.</w:t>
      </w:r>
    </w:p>
    <w:p w:rsidR="009E4B4E" w:rsidRPr="00882997" w:rsidRDefault="009E4B4E" w:rsidP="009E4B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hyperlink r:id="rId8" w:history="1">
        <w:proofErr w:type="gramStart"/>
        <w:r w:rsidRPr="00F82D29">
          <w:rPr>
            <w:rFonts w:ascii="Times New Roman" w:eastAsiaTheme="minorHAnsi" w:hAnsi="Times New Roman" w:cs="Times New Roman"/>
            <w:iCs/>
            <w:sz w:val="28"/>
            <w:szCs w:val="28"/>
            <w:lang w:eastAsia="en-US"/>
          </w:rPr>
          <w:t>Программой</w:t>
        </w:r>
      </w:hyperlink>
      <w:r w:rsidRPr="00F82D29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комплексного развития транспортной инфраструктуры городского округа Тольятти на 2018 - 2025 годы, утвержденной постановлением администрации городского округа Тольятти от 21.03.2018 </w:t>
      </w: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       №</w:t>
      </w:r>
      <w:r w:rsidRPr="00F82D29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904-п/1 (далее </w:t>
      </w: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–</w:t>
      </w:r>
      <w:r w:rsidRPr="00F82D29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ПКРТИ), Комплексной </w:t>
      </w:r>
      <w:hyperlink r:id="rId9" w:history="1">
        <w:r w:rsidRPr="00F82D29">
          <w:rPr>
            <w:rFonts w:ascii="Times New Roman" w:eastAsiaTheme="minorHAnsi" w:hAnsi="Times New Roman" w:cs="Times New Roman"/>
            <w:iCs/>
            <w:sz w:val="28"/>
            <w:szCs w:val="28"/>
            <w:lang w:eastAsia="en-US"/>
          </w:rPr>
          <w:t>схемой</w:t>
        </w:r>
      </w:hyperlink>
      <w:r w:rsidRPr="00F82D29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о</w:t>
      </w:r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рганизации дорожного движения городского округа Тольятти на 2019 - 2021 гг. и на период до 2038 года, утвержденной постановлением администрации городского округа Тольятти от 06.11.2019 </w:t>
      </w: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№</w:t>
      </w:r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3003-п/1 (далее </w:t>
      </w: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–</w:t>
      </w:r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КСОДД), предусмотрены мероприятия по развитию улично-дорожной сети</w:t>
      </w:r>
      <w:proofErr w:type="gramEnd"/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города:</w:t>
      </w:r>
    </w:p>
    <w:p w:rsidR="009E4B4E" w:rsidRPr="00882997" w:rsidRDefault="009E4B4E" w:rsidP="009E4B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строительство участка автомобильной дороги в продолжение ул. Калмыцкой от Автозаводского шоссе до ул. Ленина - 2022 - 2023 гг.;</w:t>
      </w:r>
    </w:p>
    <w:p w:rsidR="009E4B4E" w:rsidRPr="00882997" w:rsidRDefault="009E4B4E" w:rsidP="009E4B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- строительство улично-дорожной сети западнее Московского </w:t>
      </w:r>
      <w:proofErr w:type="spellStart"/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пр</w:t>
      </w:r>
      <w:proofErr w:type="spellEnd"/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-та (вторая очередь) - 2022 - 2024 гг.</w:t>
      </w:r>
    </w:p>
    <w:p w:rsidR="009E4B4E" w:rsidRDefault="009E4B4E" w:rsidP="009E4B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Прогнозируемые перспективы градостроительного развития города будут способствовать концентрации мест приложения труда в производственной сфере на территории развивающихся промышленных зон и росту мест приложения труда в сфере обслуживания населения (потребительский рынок, услуги). При этом в долгосрочной перспективе расселение населения по территории города будет определяться реализацией проектов нового жилищного строительства в Автозаводском и Центральном районах города, что потребует организации транспортного обслуживания новых районов и обеспечения транспортной связи с промышленными площадками и организациями социальной направленности города</w:t>
      </w:r>
      <w:proofErr w:type="gramStart"/>
      <w:r w:rsidRPr="0088299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.</w:t>
      </w:r>
      <w:r w:rsidRPr="0088299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E4B4E" w:rsidRPr="00882997" w:rsidRDefault="009E4B4E" w:rsidP="009E4B4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882997">
        <w:rPr>
          <w:rFonts w:ascii="Times New Roman" w:hAnsi="Times New Roman" w:cs="Times New Roman"/>
          <w:sz w:val="28"/>
          <w:szCs w:val="28"/>
        </w:rPr>
        <w:t xml:space="preserve">2. </w:t>
      </w:r>
      <w:r w:rsidRPr="00882997">
        <w:rPr>
          <w:rFonts w:ascii="Times New Roman" w:hAnsi="Times New Roman"/>
          <w:sz w:val="28"/>
          <w:szCs w:val="28"/>
        </w:rPr>
        <w:t>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:rsidR="009E4B4E" w:rsidRPr="00882997" w:rsidRDefault="009E4B4E" w:rsidP="009E4B4E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82997">
        <w:rPr>
          <w:rFonts w:ascii="Times New Roman" w:hAnsi="Times New Roman"/>
          <w:sz w:val="28"/>
          <w:szCs w:val="28"/>
        </w:rPr>
        <w:t>3. Настоящее постановление вступает в силу после даты его официального опубликования.</w:t>
      </w:r>
    </w:p>
    <w:p w:rsidR="009E4B4E" w:rsidRPr="00882997" w:rsidRDefault="009E4B4E" w:rsidP="009E4B4E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E4B4E" w:rsidRPr="00882997" w:rsidTr="00DF05FD">
        <w:tc>
          <w:tcPr>
            <w:tcW w:w="4785" w:type="dxa"/>
          </w:tcPr>
          <w:p w:rsidR="009E4B4E" w:rsidRPr="00882997" w:rsidRDefault="009E4B4E" w:rsidP="00DF05FD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82997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городского округа                                                </w:t>
            </w:r>
          </w:p>
        </w:tc>
        <w:tc>
          <w:tcPr>
            <w:tcW w:w="4786" w:type="dxa"/>
          </w:tcPr>
          <w:p w:rsidR="009E4B4E" w:rsidRPr="00882997" w:rsidRDefault="009E4B4E" w:rsidP="00DF05FD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82997">
              <w:rPr>
                <w:rFonts w:ascii="Times New Roman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 w:rsidRPr="00882997">
              <w:rPr>
                <w:rFonts w:ascii="Times New Roman" w:hAnsi="Times New Roman" w:cs="Times New Roman"/>
                <w:sz w:val="28"/>
                <w:szCs w:val="28"/>
              </w:rPr>
              <w:t>Ренц</w:t>
            </w:r>
            <w:proofErr w:type="spellEnd"/>
          </w:p>
        </w:tc>
      </w:tr>
    </w:tbl>
    <w:p w:rsidR="009E4B4E" w:rsidRDefault="009E4B4E" w:rsidP="009E4B4E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B4E" w:rsidRPr="005B36FC" w:rsidRDefault="009E4B4E" w:rsidP="009E4B4E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6FC">
        <w:rPr>
          <w:rFonts w:ascii="Times New Roman" w:hAnsi="Times New Roman"/>
          <w:sz w:val="24"/>
          <w:szCs w:val="24"/>
        </w:rPr>
        <w:t xml:space="preserve">Т.П. Воронцова </w:t>
      </w:r>
    </w:p>
    <w:p w:rsidR="009E4B4E" w:rsidRPr="005B36FC" w:rsidRDefault="009E4B4E" w:rsidP="009E4B4E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6FC">
        <w:rPr>
          <w:rFonts w:ascii="Times New Roman" w:hAnsi="Times New Roman"/>
          <w:sz w:val="24"/>
          <w:szCs w:val="24"/>
        </w:rPr>
        <w:t>54 44 33 (48 74)</w:t>
      </w:r>
    </w:p>
    <w:p w:rsidR="009E4B4E" w:rsidRPr="00EB12C4" w:rsidRDefault="009E4B4E" w:rsidP="009E4B4E"/>
    <w:p w:rsidR="0076257D" w:rsidRPr="009E4B4E" w:rsidRDefault="0076257D" w:rsidP="009E4B4E">
      <w:bookmarkStart w:id="0" w:name="_GoBack"/>
      <w:bookmarkEnd w:id="0"/>
    </w:p>
    <w:sectPr w:rsidR="0076257D" w:rsidRPr="009E4B4E" w:rsidSect="00C14EA6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4F7" w:rsidRDefault="007314F7" w:rsidP="00191AD8">
      <w:pPr>
        <w:spacing w:after="0" w:line="240" w:lineRule="auto"/>
      </w:pPr>
      <w:r>
        <w:separator/>
      </w:r>
    </w:p>
  </w:endnote>
  <w:endnote w:type="continuationSeparator" w:id="0">
    <w:p w:rsidR="007314F7" w:rsidRDefault="007314F7" w:rsidP="0019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4F7" w:rsidRDefault="007314F7" w:rsidP="00191AD8">
      <w:pPr>
        <w:spacing w:after="0" w:line="240" w:lineRule="auto"/>
      </w:pPr>
      <w:r>
        <w:separator/>
      </w:r>
    </w:p>
  </w:footnote>
  <w:footnote w:type="continuationSeparator" w:id="0">
    <w:p w:rsidR="007314F7" w:rsidRDefault="007314F7" w:rsidP="0019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4329618"/>
      <w:docPartObj>
        <w:docPartGallery w:val="Page Numbers (Top of Page)"/>
        <w:docPartUnique/>
      </w:docPartObj>
    </w:sdtPr>
    <w:sdtEndPr/>
    <w:sdtContent>
      <w:p w:rsidR="00D07403" w:rsidRDefault="00D76EB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4B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7403" w:rsidRDefault="007314F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403" w:rsidRDefault="007314F7">
    <w:pPr>
      <w:pStyle w:val="a4"/>
      <w:jc w:val="center"/>
    </w:pPr>
  </w:p>
  <w:p w:rsidR="00D07403" w:rsidRDefault="007314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561F6"/>
    <w:multiLevelType w:val="hybridMultilevel"/>
    <w:tmpl w:val="7FF4501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CF56B52"/>
    <w:multiLevelType w:val="hybridMultilevel"/>
    <w:tmpl w:val="7FF4501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247"/>
    <w:rsid w:val="000379DF"/>
    <w:rsid w:val="00071EB1"/>
    <w:rsid w:val="00092535"/>
    <w:rsid w:val="000A22E8"/>
    <w:rsid w:val="000B0613"/>
    <w:rsid w:val="000B46FC"/>
    <w:rsid w:val="000B72DC"/>
    <w:rsid w:val="000D6F5E"/>
    <w:rsid w:val="00130654"/>
    <w:rsid w:val="00171E3D"/>
    <w:rsid w:val="00191AD8"/>
    <w:rsid w:val="001937CA"/>
    <w:rsid w:val="001A0A17"/>
    <w:rsid w:val="001A5367"/>
    <w:rsid w:val="001C0637"/>
    <w:rsid w:val="001C46D6"/>
    <w:rsid w:val="001C657F"/>
    <w:rsid w:val="001E6945"/>
    <w:rsid w:val="001F1272"/>
    <w:rsid w:val="002222AC"/>
    <w:rsid w:val="00246A93"/>
    <w:rsid w:val="002C4AD4"/>
    <w:rsid w:val="002E5B6B"/>
    <w:rsid w:val="002E7175"/>
    <w:rsid w:val="002E75D8"/>
    <w:rsid w:val="003133C4"/>
    <w:rsid w:val="003461CC"/>
    <w:rsid w:val="00365DC1"/>
    <w:rsid w:val="003860D3"/>
    <w:rsid w:val="00390063"/>
    <w:rsid w:val="003A31BB"/>
    <w:rsid w:val="0041451D"/>
    <w:rsid w:val="0043445E"/>
    <w:rsid w:val="004616F7"/>
    <w:rsid w:val="00497102"/>
    <w:rsid w:val="004D428B"/>
    <w:rsid w:val="00510E50"/>
    <w:rsid w:val="0052696A"/>
    <w:rsid w:val="00531B96"/>
    <w:rsid w:val="0053529B"/>
    <w:rsid w:val="0053783F"/>
    <w:rsid w:val="00594C62"/>
    <w:rsid w:val="005A1235"/>
    <w:rsid w:val="005B36FC"/>
    <w:rsid w:val="005D5151"/>
    <w:rsid w:val="005E6E8A"/>
    <w:rsid w:val="005F49D9"/>
    <w:rsid w:val="00604CD7"/>
    <w:rsid w:val="006B0247"/>
    <w:rsid w:val="006D4FC3"/>
    <w:rsid w:val="006D6739"/>
    <w:rsid w:val="006E5C6D"/>
    <w:rsid w:val="00726586"/>
    <w:rsid w:val="007314F7"/>
    <w:rsid w:val="00742376"/>
    <w:rsid w:val="0076257D"/>
    <w:rsid w:val="00766C53"/>
    <w:rsid w:val="0077044C"/>
    <w:rsid w:val="00776D88"/>
    <w:rsid w:val="007853D9"/>
    <w:rsid w:val="007928A3"/>
    <w:rsid w:val="007C5166"/>
    <w:rsid w:val="007D16CA"/>
    <w:rsid w:val="007D7B0F"/>
    <w:rsid w:val="00824364"/>
    <w:rsid w:val="00842E59"/>
    <w:rsid w:val="00867536"/>
    <w:rsid w:val="00880BAE"/>
    <w:rsid w:val="00887CFF"/>
    <w:rsid w:val="00895863"/>
    <w:rsid w:val="008B0F15"/>
    <w:rsid w:val="008D45EF"/>
    <w:rsid w:val="008F0CC4"/>
    <w:rsid w:val="00952DF4"/>
    <w:rsid w:val="009936A5"/>
    <w:rsid w:val="009E4B4E"/>
    <w:rsid w:val="009E66B6"/>
    <w:rsid w:val="00A5736C"/>
    <w:rsid w:val="00A6639C"/>
    <w:rsid w:val="00A75D55"/>
    <w:rsid w:val="00AB2AF6"/>
    <w:rsid w:val="00AC651C"/>
    <w:rsid w:val="00AE3E1A"/>
    <w:rsid w:val="00B015F1"/>
    <w:rsid w:val="00B22270"/>
    <w:rsid w:val="00B5377E"/>
    <w:rsid w:val="00B71E48"/>
    <w:rsid w:val="00B940CB"/>
    <w:rsid w:val="00BC14B7"/>
    <w:rsid w:val="00BC4AE4"/>
    <w:rsid w:val="00BD17DA"/>
    <w:rsid w:val="00C0326A"/>
    <w:rsid w:val="00C14EA6"/>
    <w:rsid w:val="00C44107"/>
    <w:rsid w:val="00C44E87"/>
    <w:rsid w:val="00CA0A9E"/>
    <w:rsid w:val="00D1756C"/>
    <w:rsid w:val="00D24F06"/>
    <w:rsid w:val="00D5256A"/>
    <w:rsid w:val="00D62A5C"/>
    <w:rsid w:val="00D74043"/>
    <w:rsid w:val="00D76EB1"/>
    <w:rsid w:val="00DA1170"/>
    <w:rsid w:val="00DA6D3D"/>
    <w:rsid w:val="00DF6B8F"/>
    <w:rsid w:val="00DF7DEC"/>
    <w:rsid w:val="00E45F3E"/>
    <w:rsid w:val="00E71BC7"/>
    <w:rsid w:val="00E72DDB"/>
    <w:rsid w:val="00E76A5F"/>
    <w:rsid w:val="00F22A17"/>
    <w:rsid w:val="00F230A7"/>
    <w:rsid w:val="00F37A4F"/>
    <w:rsid w:val="00F464F9"/>
    <w:rsid w:val="00F4666F"/>
    <w:rsid w:val="00F65CBF"/>
    <w:rsid w:val="00F75447"/>
    <w:rsid w:val="00F87F0D"/>
    <w:rsid w:val="00FC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145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145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14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1AD8"/>
  </w:style>
  <w:style w:type="paragraph" w:styleId="a6">
    <w:name w:val="footer"/>
    <w:basedOn w:val="a"/>
    <w:link w:val="a7"/>
    <w:uiPriority w:val="99"/>
    <w:unhideWhenUsed/>
    <w:rsid w:val="0019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1AD8"/>
  </w:style>
  <w:style w:type="paragraph" w:customStyle="1" w:styleId="ConsTitle">
    <w:name w:val="ConsTitle"/>
    <w:rsid w:val="000D6F5E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42376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7423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2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aaieiaie1">
    <w:name w:val="caaieiaie 1"/>
    <w:basedOn w:val="a"/>
    <w:next w:val="a"/>
    <w:rsid w:val="0076257D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ConsPlusNormal0">
    <w:name w:val="ConsPlusNormal Знак"/>
    <w:link w:val="ConsPlusNormal"/>
    <w:locked/>
    <w:rsid w:val="0076257D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762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445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extendedtext-full">
    <w:name w:val="extendedtext-full"/>
    <w:basedOn w:val="a0"/>
    <w:rsid w:val="005E6E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145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145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14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1AD8"/>
  </w:style>
  <w:style w:type="paragraph" w:styleId="a6">
    <w:name w:val="footer"/>
    <w:basedOn w:val="a"/>
    <w:link w:val="a7"/>
    <w:uiPriority w:val="99"/>
    <w:unhideWhenUsed/>
    <w:rsid w:val="0019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1AD8"/>
  </w:style>
  <w:style w:type="paragraph" w:customStyle="1" w:styleId="ConsTitle">
    <w:name w:val="ConsTitle"/>
    <w:rsid w:val="000D6F5E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42376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7423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2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aaieiaie1">
    <w:name w:val="caaieiaie 1"/>
    <w:basedOn w:val="a"/>
    <w:next w:val="a"/>
    <w:rsid w:val="0076257D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ConsPlusNormal0">
    <w:name w:val="ConsPlusNormal Знак"/>
    <w:link w:val="ConsPlusNormal"/>
    <w:locked/>
    <w:rsid w:val="0076257D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762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445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extendedtext-full">
    <w:name w:val="extendedtext-full"/>
    <w:basedOn w:val="a0"/>
    <w:rsid w:val="005E6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57B97C33366291AA751DF41BD79DEE6F02B5529280AF3D7ACDBCB92CF6CACCBFC323411D0A63104DCF903D17CE2EB6E2D1E7ED92AD5A7D44C04BD0kAc2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57B97C33366291AA751DF41BD79DEE6F02B5529282AE3F70CFBCB92CF6CACCBFC323411D0A63104DCF903D17CE2EB6E2D1E7ED92AD5A7D44C04BD0kAc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2022-02-08T12:00:00Z</cp:lastPrinted>
  <dcterms:created xsi:type="dcterms:W3CDTF">2022-02-08T11:38:00Z</dcterms:created>
  <dcterms:modified xsi:type="dcterms:W3CDTF">2023-08-01T06:34:00Z</dcterms:modified>
</cp:coreProperties>
</file>