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A9C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Одним из важнейших показателей, полученных в результате проведения Всероссийской переписи населения 2010 года (ВПН-2010), является уровень образования населения. Распределение населения по уровням образования и изменения его в динамике отражает одну из сторон человеческого потенциала.</w:t>
      </w: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 данным последней переписи населения в г.</w:t>
      </w:r>
      <w:r>
        <w:rPr>
          <w:rFonts w:ascii="Tahoma" w:hAnsi="Tahoma" w:cs="Tahoma"/>
          <w:lang w:val="en-US"/>
        </w:rPr>
        <w:t> </w:t>
      </w:r>
      <w:r>
        <w:rPr>
          <w:rFonts w:ascii="Tahoma" w:hAnsi="Tahoma" w:cs="Tahoma"/>
        </w:rPr>
        <w:t xml:space="preserve">Тольятти учтено 614,3 тыс.человек в возрасте 15 лет и старше, из них 598,5 тыс.человек или 99,7 процентов имеют общее и профессиональное образование. </w:t>
      </w: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</w:p>
    <w:p w:rsidR="007F6A9C" w:rsidRPr="005474A7" w:rsidRDefault="007F6A9C" w:rsidP="007F6A9C">
      <w:pPr>
        <w:pStyle w:val="a3"/>
        <w:spacing w:before="240" w:after="0" w:afterAutospacing="0" w:line="360" w:lineRule="auto"/>
        <w:ind w:firstLine="567"/>
        <w:jc w:val="center"/>
        <w:rPr>
          <w:rFonts w:ascii="Tahoma" w:hAnsi="Tahoma" w:cs="Tahoma"/>
          <w:b/>
        </w:rPr>
      </w:pPr>
      <w:r w:rsidRPr="005474A7">
        <w:rPr>
          <w:rFonts w:ascii="Tahoma" w:hAnsi="Tahoma" w:cs="Tahoma"/>
          <w:b/>
        </w:rPr>
        <w:t>Уровень образования населения г.</w:t>
      </w:r>
      <w:r>
        <w:rPr>
          <w:rFonts w:ascii="Tahoma" w:hAnsi="Tahoma" w:cs="Tahoma"/>
          <w:b/>
          <w:lang w:val="en-US"/>
        </w:rPr>
        <w:t> </w:t>
      </w:r>
      <w:r w:rsidRPr="005474A7">
        <w:rPr>
          <w:rFonts w:ascii="Tahoma" w:hAnsi="Tahoma" w:cs="Tahoma"/>
          <w:b/>
        </w:rPr>
        <w:t>Тольятти</w:t>
      </w: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(на 1000 человек населения, по данным переписей населения)</w:t>
      </w: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5607685" cy="391668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41768" w:rsidRDefault="00B41768" w:rsidP="007F6A9C">
      <w:pPr>
        <w:rPr>
          <w:rFonts w:ascii="Tahoma" w:hAnsi="Tahoma" w:cs="Tahoma"/>
          <w:sz w:val="20"/>
          <w:szCs w:val="20"/>
        </w:rPr>
      </w:pPr>
    </w:p>
    <w:p w:rsidR="007F6A9C" w:rsidRPr="00DD05EE" w:rsidRDefault="007F6A9C" w:rsidP="007F6A9C">
      <w:pPr>
        <w:rPr>
          <w:rFonts w:ascii="Tahoma" w:hAnsi="Tahoma" w:cs="Tahoma"/>
          <w:sz w:val="20"/>
          <w:szCs w:val="20"/>
        </w:rPr>
      </w:pPr>
      <w:r w:rsidRPr="00DD05EE">
        <w:rPr>
          <w:rFonts w:ascii="Tahoma" w:hAnsi="Tahoma" w:cs="Tahoma"/>
          <w:sz w:val="20"/>
          <w:szCs w:val="20"/>
        </w:rPr>
        <w:t>*- в расчете на 1000 человек населения в возрасте 15 лет и старше, указавших уровень образования</w:t>
      </w:r>
    </w:p>
    <w:p w:rsidR="007F6A9C" w:rsidRDefault="007F6A9C" w:rsidP="007F6A9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</w:rPr>
        <w:br w:type="page"/>
      </w:r>
    </w:p>
    <w:p w:rsidR="007F6A9C" w:rsidRDefault="007F6A9C" w:rsidP="007F6A9C">
      <w:pPr>
        <w:pStyle w:val="a3"/>
        <w:spacing w:before="120" w:after="120" w:afterAutospacing="0" w:line="360" w:lineRule="auto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Изменение уровня образования населения в структуре и в сравнении с переписью населения 2002 года  представлена в следующей таблице:</w:t>
      </w:r>
    </w:p>
    <w:tbl>
      <w:tblPr>
        <w:tblW w:w="9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5"/>
        <w:gridCol w:w="1620"/>
        <w:gridCol w:w="1621"/>
        <w:gridCol w:w="1153"/>
        <w:gridCol w:w="1134"/>
        <w:gridCol w:w="1371"/>
      </w:tblGrid>
      <w:tr w:rsidR="007F6A9C" w:rsidRPr="008865F0" w:rsidTr="001E609F">
        <w:tc>
          <w:tcPr>
            <w:tcW w:w="3085" w:type="dxa"/>
            <w:vMerge w:val="restart"/>
            <w:vAlign w:val="center"/>
          </w:tcPr>
          <w:p w:rsidR="007F6A9C" w:rsidRPr="008865F0" w:rsidRDefault="007F6A9C" w:rsidP="001E609F">
            <w:pPr>
              <w:pStyle w:val="a3"/>
              <w:spacing w:before="60" w:after="60" w:afterAutospacing="0"/>
              <w:jc w:val="center"/>
              <w:rPr>
                <w:rFonts w:ascii="Tahoma" w:hAnsi="Tahoma" w:cs="Tahoma"/>
              </w:rPr>
            </w:pPr>
          </w:p>
        </w:tc>
        <w:tc>
          <w:tcPr>
            <w:tcW w:w="3241" w:type="dxa"/>
            <w:gridSpan w:val="2"/>
            <w:vAlign w:val="center"/>
          </w:tcPr>
          <w:p w:rsidR="007F6A9C" w:rsidRPr="008865F0" w:rsidRDefault="007F6A9C" w:rsidP="001E609F">
            <w:pPr>
              <w:pStyle w:val="a3"/>
              <w:spacing w:before="60" w:after="60" w:afterAutospacing="0"/>
              <w:jc w:val="center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Всего, человек</w:t>
            </w:r>
          </w:p>
        </w:tc>
        <w:tc>
          <w:tcPr>
            <w:tcW w:w="3658" w:type="dxa"/>
            <w:gridSpan w:val="3"/>
            <w:vAlign w:val="center"/>
          </w:tcPr>
          <w:p w:rsidR="007F6A9C" w:rsidRPr="008865F0" w:rsidRDefault="007F6A9C" w:rsidP="001E609F">
            <w:pPr>
              <w:pStyle w:val="a3"/>
              <w:spacing w:before="60" w:after="60" w:afterAutospacing="0"/>
              <w:jc w:val="center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На 1000 человек населения</w:t>
            </w:r>
          </w:p>
        </w:tc>
      </w:tr>
      <w:tr w:rsidR="007F6A9C" w:rsidRPr="008865F0" w:rsidTr="001E609F">
        <w:tc>
          <w:tcPr>
            <w:tcW w:w="3085" w:type="dxa"/>
            <w:vMerge/>
            <w:tcBorders>
              <w:bottom w:val="single" w:sz="4" w:space="0" w:color="auto"/>
            </w:tcBorders>
            <w:vAlign w:val="center"/>
          </w:tcPr>
          <w:p w:rsidR="007F6A9C" w:rsidRPr="008865F0" w:rsidRDefault="007F6A9C" w:rsidP="001E609F">
            <w:pPr>
              <w:pStyle w:val="a3"/>
              <w:spacing w:before="60" w:after="60" w:afterAutospacing="0"/>
              <w:jc w:val="center"/>
              <w:rPr>
                <w:rFonts w:ascii="Tahoma" w:hAnsi="Tahoma" w:cs="Tahoma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7F6A9C" w:rsidRPr="008865F0" w:rsidRDefault="007F6A9C" w:rsidP="001E609F">
            <w:pPr>
              <w:pStyle w:val="a3"/>
              <w:spacing w:before="60" w:after="60" w:afterAutospacing="0"/>
              <w:jc w:val="center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2002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:rsidR="007F6A9C" w:rsidRPr="008865F0" w:rsidRDefault="007F6A9C" w:rsidP="001E609F">
            <w:pPr>
              <w:pStyle w:val="a3"/>
              <w:spacing w:before="60" w:after="60" w:afterAutospacing="0"/>
              <w:jc w:val="center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2010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:rsidR="007F6A9C" w:rsidRPr="008865F0" w:rsidRDefault="007F6A9C" w:rsidP="001E609F">
            <w:pPr>
              <w:pStyle w:val="a3"/>
              <w:spacing w:before="60" w:after="60" w:afterAutospacing="0"/>
              <w:jc w:val="center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2002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F6A9C" w:rsidRPr="008865F0" w:rsidRDefault="007F6A9C" w:rsidP="001E609F">
            <w:pPr>
              <w:pStyle w:val="a3"/>
              <w:spacing w:before="60" w:after="60" w:afterAutospacing="0"/>
              <w:jc w:val="center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2010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7F6A9C" w:rsidRPr="008865F0" w:rsidRDefault="007F6A9C" w:rsidP="001E609F">
            <w:pPr>
              <w:pStyle w:val="a3"/>
              <w:spacing w:before="60" w:after="60" w:afterAutospacing="0"/>
              <w:jc w:val="center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2010 в % к 2002</w:t>
            </w:r>
          </w:p>
        </w:tc>
      </w:tr>
      <w:tr w:rsidR="007F6A9C" w:rsidRPr="008865F0" w:rsidTr="001E609F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120" w:after="0" w:afterAutospacing="0"/>
              <w:ind w:right="-108"/>
              <w:rPr>
                <w:rFonts w:ascii="Tahoma" w:hAnsi="Tahoma" w:cs="Tahoma"/>
                <w:b/>
              </w:rPr>
            </w:pPr>
            <w:r w:rsidRPr="008865F0">
              <w:rPr>
                <w:rFonts w:ascii="Tahoma" w:hAnsi="Tahoma" w:cs="Tahoma"/>
                <w:b/>
              </w:rPr>
              <w:t>Российская Федерация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Всего населения в возрасте 15 лет и старше, указавшие уровень образования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119935827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117639476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994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100,4</w:t>
            </w: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в том числе имеющие: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left="142"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- профессиональное образование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71414172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76198081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648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108,9</w:t>
            </w: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left="142"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- общее образование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47321665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40728967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346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87,6</w:t>
            </w: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120" w:after="0" w:afterAutospacing="0"/>
              <w:ind w:right="-108"/>
              <w:rPr>
                <w:rFonts w:ascii="Tahoma" w:hAnsi="Tahoma" w:cs="Tahoma"/>
                <w:b/>
              </w:rPr>
            </w:pPr>
            <w:r w:rsidRPr="008865F0">
              <w:rPr>
                <w:rFonts w:ascii="Tahoma" w:hAnsi="Tahoma" w:cs="Tahoma"/>
                <w:b/>
              </w:rPr>
              <w:t>Самарская область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Всего населения в возрасте 15 лет и старше, указавшие уровень образования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2727759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2709739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995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100,3</w:t>
            </w: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в том числе имеющие: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left="142"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- профессиональное образование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1709550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1836748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627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678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108,1</w:t>
            </w: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left="142"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- общее образование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995194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859353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317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86,8</w:t>
            </w: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120" w:after="0" w:afterAutospacing="0"/>
              <w:ind w:right="-108"/>
              <w:rPr>
                <w:rFonts w:ascii="Tahoma" w:hAnsi="Tahoma" w:cs="Tahoma"/>
                <w:b/>
              </w:rPr>
            </w:pPr>
            <w:r w:rsidRPr="008865F0">
              <w:rPr>
                <w:rFonts w:ascii="Tahoma" w:hAnsi="Tahoma" w:cs="Tahoma"/>
                <w:b/>
              </w:rPr>
              <w:t>г.Тольятти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120" w:after="0" w:afterAutospacing="0"/>
              <w:jc w:val="right"/>
              <w:rPr>
                <w:rFonts w:ascii="Tahoma" w:hAnsi="Tahoma" w:cs="Tahoma"/>
                <w:b/>
              </w:rPr>
            </w:pP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Всего населения в возрасте 15 лет и старше, указавшие уровень образования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585257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600011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997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100,1</w:t>
            </w: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в том числе имеющие: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left="142"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- профессиональное образование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393143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422128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704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104,9</w:t>
            </w:r>
          </w:p>
        </w:tc>
      </w:tr>
      <w:tr w:rsidR="007F6A9C" w:rsidRPr="008865F0" w:rsidTr="001E609F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A9C" w:rsidRPr="008865F0" w:rsidRDefault="007F6A9C" w:rsidP="001E609F">
            <w:pPr>
              <w:pStyle w:val="a3"/>
              <w:spacing w:before="60" w:after="0" w:afterAutospacing="0"/>
              <w:ind w:left="142" w:right="-108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- общее образование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190181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176355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294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6A9C" w:rsidRPr="008865F0" w:rsidRDefault="007F6A9C" w:rsidP="001E609F">
            <w:pPr>
              <w:pStyle w:val="a3"/>
              <w:spacing w:before="60" w:after="0" w:afterAutospacing="0"/>
              <w:jc w:val="right"/>
              <w:rPr>
                <w:rFonts w:ascii="Tahoma" w:hAnsi="Tahoma" w:cs="Tahoma"/>
              </w:rPr>
            </w:pPr>
            <w:r w:rsidRPr="008865F0">
              <w:rPr>
                <w:rFonts w:ascii="Tahoma" w:hAnsi="Tahoma" w:cs="Tahoma"/>
              </w:rPr>
              <w:t>90,5</w:t>
            </w:r>
          </w:p>
        </w:tc>
      </w:tr>
    </w:tbl>
    <w:p w:rsidR="007F6A9C" w:rsidRDefault="007F6A9C" w:rsidP="007F6A9C">
      <w:pPr>
        <w:pStyle w:val="a3"/>
        <w:spacing w:before="0" w:after="0" w:afterAutospacing="0"/>
        <w:ind w:firstLine="567"/>
        <w:jc w:val="both"/>
        <w:rPr>
          <w:rFonts w:ascii="Tahoma" w:hAnsi="Tahoma" w:cs="Tahoma"/>
        </w:rPr>
      </w:pPr>
    </w:p>
    <w:p w:rsidR="007F6A9C" w:rsidRPr="00EA30E9" w:rsidRDefault="007F6A9C" w:rsidP="007F6A9C">
      <w:pPr>
        <w:pStyle w:val="a3"/>
        <w:spacing w:before="120" w:after="120" w:afterAutospacing="0" w:line="360" w:lineRule="auto"/>
        <w:ind w:firstLine="567"/>
        <w:jc w:val="both"/>
        <w:rPr>
          <w:rFonts w:ascii="Tahoma" w:hAnsi="Tahoma" w:cs="Tahoma"/>
        </w:rPr>
      </w:pPr>
      <w:r w:rsidRPr="00EA30E9">
        <w:rPr>
          <w:rFonts w:ascii="Tahoma" w:hAnsi="Tahoma" w:cs="Tahoma"/>
        </w:rPr>
        <w:t>По данным ВПН-2010 в расчете на 1000 человек населения трудоспособного возраста уровень образования составил в г. Тольятти – 998 (</w:t>
      </w:r>
      <w:smartTag w:uri="urn:schemas-microsoft-com:office:smarttags" w:element="metricconverter">
        <w:smartTagPr>
          <w:attr w:name="ProductID" w:val="2002 г"/>
        </w:smartTagPr>
        <w:r w:rsidRPr="00EA30E9">
          <w:rPr>
            <w:rFonts w:ascii="Tahoma" w:hAnsi="Tahoma" w:cs="Tahoma"/>
          </w:rPr>
          <w:t>2002 г</w:t>
        </w:r>
      </w:smartTag>
      <w:r w:rsidRPr="00EA30E9">
        <w:rPr>
          <w:rFonts w:ascii="Tahoma" w:hAnsi="Tahoma" w:cs="Tahoma"/>
        </w:rPr>
        <w:t>. - 999), по Российской Федерации – 996 (</w:t>
      </w:r>
      <w:smartTag w:uri="urn:schemas-microsoft-com:office:smarttags" w:element="metricconverter">
        <w:smartTagPr>
          <w:attr w:name="ProductID" w:val="2002 г"/>
        </w:smartTagPr>
        <w:r w:rsidRPr="00EA30E9">
          <w:rPr>
            <w:rFonts w:ascii="Tahoma" w:hAnsi="Tahoma" w:cs="Tahoma"/>
          </w:rPr>
          <w:t>2002 г</w:t>
        </w:r>
      </w:smartTag>
      <w:r w:rsidRPr="00EA30E9">
        <w:rPr>
          <w:rFonts w:ascii="Tahoma" w:hAnsi="Tahoma" w:cs="Tahoma"/>
        </w:rPr>
        <w:t>. - 997), по Самарской области – 997 (</w:t>
      </w:r>
      <w:smartTag w:uri="urn:schemas-microsoft-com:office:smarttags" w:element="metricconverter">
        <w:smartTagPr>
          <w:attr w:name="ProductID" w:val="2002 г"/>
        </w:smartTagPr>
        <w:r w:rsidRPr="00EA30E9">
          <w:rPr>
            <w:rFonts w:ascii="Tahoma" w:hAnsi="Tahoma" w:cs="Tahoma"/>
          </w:rPr>
          <w:t>2002 г</w:t>
        </w:r>
      </w:smartTag>
      <w:r w:rsidRPr="00EA30E9">
        <w:rPr>
          <w:rFonts w:ascii="Tahoma" w:hAnsi="Tahoma" w:cs="Tahoma"/>
        </w:rPr>
        <w:t>. - 997).</w:t>
      </w:r>
      <w:r w:rsidRPr="00EA30E9">
        <w:rPr>
          <w:rFonts w:ascii="Tahoma" w:hAnsi="Tahoma" w:cs="Tahoma"/>
        </w:rPr>
        <w:br w:type="page"/>
      </w:r>
    </w:p>
    <w:p w:rsidR="007F6A9C" w:rsidRPr="00D43487" w:rsidRDefault="007F6A9C" w:rsidP="007F6A9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43487">
        <w:rPr>
          <w:rFonts w:ascii="Tahoma" w:hAnsi="Tahoma" w:cs="Tahoma"/>
          <w:b/>
          <w:sz w:val="24"/>
          <w:szCs w:val="24"/>
        </w:rPr>
        <w:lastRenderedPageBreak/>
        <w:t>Структура населения г.</w:t>
      </w:r>
      <w:r w:rsidRPr="00D43487">
        <w:rPr>
          <w:rFonts w:ascii="Tahoma" w:hAnsi="Tahoma" w:cs="Tahoma"/>
          <w:b/>
          <w:sz w:val="24"/>
          <w:szCs w:val="24"/>
          <w:lang w:val="en-US"/>
        </w:rPr>
        <w:t> </w:t>
      </w:r>
      <w:r w:rsidRPr="00D43487">
        <w:rPr>
          <w:rFonts w:ascii="Tahoma" w:hAnsi="Tahoma" w:cs="Tahoma"/>
          <w:b/>
          <w:sz w:val="24"/>
          <w:szCs w:val="24"/>
        </w:rPr>
        <w:t xml:space="preserve">Тольятти в возрасте 15 лет и старше </w:t>
      </w:r>
    </w:p>
    <w:p w:rsidR="007F6A9C" w:rsidRPr="00D43487" w:rsidRDefault="007F6A9C" w:rsidP="007F6A9C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D43487">
        <w:rPr>
          <w:rFonts w:ascii="Tahoma" w:hAnsi="Tahoma" w:cs="Tahoma"/>
          <w:b/>
          <w:sz w:val="24"/>
          <w:szCs w:val="24"/>
        </w:rPr>
        <w:t xml:space="preserve">по уровню образования </w:t>
      </w:r>
    </w:p>
    <w:p w:rsidR="007F6A9C" w:rsidRDefault="007F6A9C" w:rsidP="007F6A9C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(по данным ВПН-2010)</w:t>
      </w:r>
    </w:p>
    <w:p w:rsidR="007F6A9C" w:rsidRDefault="007F6A9C" w:rsidP="007F6A9C">
      <w:pPr>
        <w:jc w:val="center"/>
        <w:rPr>
          <w:rFonts w:ascii="Tahoma" w:hAnsi="Tahoma" w:cs="Tahoma"/>
        </w:rPr>
      </w:pPr>
    </w:p>
    <w:p w:rsidR="007F6A9C" w:rsidRPr="00AC6B02" w:rsidRDefault="007F6A9C" w:rsidP="007F6A9C">
      <w:pPr>
        <w:spacing w:after="0" w:line="240" w:lineRule="auto"/>
        <w:jc w:val="right"/>
        <w:rPr>
          <w:rFonts w:ascii="Tahoma" w:hAnsi="Tahoma" w:cs="Tahoma"/>
          <w:i/>
          <w:sz w:val="20"/>
          <w:szCs w:val="20"/>
        </w:rPr>
      </w:pPr>
      <w:r w:rsidRPr="00AC6B02">
        <w:rPr>
          <w:rFonts w:ascii="Tahoma" w:hAnsi="Tahoma" w:cs="Tahoma"/>
          <w:i/>
          <w:sz w:val="20"/>
          <w:szCs w:val="20"/>
        </w:rPr>
        <w:t>в процентах к общей численности населения</w:t>
      </w:r>
    </w:p>
    <w:p w:rsidR="007F6A9C" w:rsidRPr="00AC6B02" w:rsidRDefault="007F6A9C" w:rsidP="007F6A9C">
      <w:pPr>
        <w:spacing w:after="0" w:line="240" w:lineRule="auto"/>
        <w:jc w:val="right"/>
        <w:rPr>
          <w:rFonts w:ascii="Tahoma" w:hAnsi="Tahoma" w:cs="Tahoma"/>
          <w:i/>
          <w:sz w:val="20"/>
          <w:szCs w:val="20"/>
        </w:rPr>
      </w:pPr>
      <w:r w:rsidRPr="00AC6B02">
        <w:rPr>
          <w:rFonts w:ascii="Tahoma" w:hAnsi="Tahoma" w:cs="Tahoma"/>
          <w:i/>
          <w:sz w:val="20"/>
          <w:szCs w:val="20"/>
        </w:rPr>
        <w:t xml:space="preserve"> в возрасте 15 лет и старше</w:t>
      </w: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5704840" cy="4118610"/>
            <wp:effectExtent l="0" t="0" r="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865F0" w:rsidRDefault="008865F0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  <w:r w:rsidRPr="00FE0894">
        <w:rPr>
          <w:rFonts w:ascii="Tahoma" w:hAnsi="Tahoma" w:cs="Tahoma"/>
        </w:rPr>
        <w:t>В г.</w:t>
      </w:r>
      <w:r w:rsidR="008865F0">
        <w:rPr>
          <w:rFonts w:ascii="Tahoma" w:hAnsi="Tahoma" w:cs="Tahoma"/>
        </w:rPr>
        <w:t> </w:t>
      </w:r>
      <w:r w:rsidRPr="00FE0894">
        <w:rPr>
          <w:rFonts w:ascii="Tahoma" w:hAnsi="Tahoma" w:cs="Tahoma"/>
        </w:rPr>
        <w:t xml:space="preserve">Тольятти среди специалистов с высшим профессиональным образованием </w:t>
      </w:r>
      <w:r>
        <w:rPr>
          <w:rFonts w:ascii="Tahoma" w:hAnsi="Tahoma" w:cs="Tahoma"/>
        </w:rPr>
        <w:t>3,1</w:t>
      </w:r>
      <w:r w:rsidRPr="00FE0894">
        <w:rPr>
          <w:rFonts w:ascii="Tahoma" w:hAnsi="Tahoma" w:cs="Tahoma"/>
        </w:rPr>
        <w:t xml:space="preserve"> тыс. человек имеют послевузовское образование (в </w:t>
      </w:r>
      <w:smartTag w:uri="urn:schemas-microsoft-com:office:smarttags" w:element="metricconverter">
        <w:smartTagPr>
          <w:attr w:name="ProductID" w:val="2002 г"/>
        </w:smartTagPr>
        <w:r w:rsidRPr="00FE0894">
          <w:rPr>
            <w:rFonts w:ascii="Tahoma" w:hAnsi="Tahoma" w:cs="Tahoma"/>
          </w:rPr>
          <w:t>2002 г</w:t>
        </w:r>
      </w:smartTag>
      <w:r w:rsidRPr="00FE0894">
        <w:rPr>
          <w:rFonts w:ascii="Tahoma" w:hAnsi="Tahoma" w:cs="Tahoma"/>
        </w:rPr>
        <w:t xml:space="preserve">. – </w:t>
      </w:r>
      <w:r>
        <w:rPr>
          <w:rFonts w:ascii="Tahoma" w:hAnsi="Tahoma" w:cs="Tahoma"/>
        </w:rPr>
        <w:t>1,6</w:t>
      </w:r>
      <w:r w:rsidRPr="00FE0894">
        <w:rPr>
          <w:rFonts w:ascii="Tahoma" w:hAnsi="Tahoma" w:cs="Tahoma"/>
        </w:rPr>
        <w:t xml:space="preserve"> тыс. человек).</w:t>
      </w:r>
    </w:p>
    <w:p w:rsidR="007F6A9C" w:rsidRPr="00FE0894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 межпереписной период в г.Тольятти наблюдается у</w:t>
      </w:r>
      <w:r w:rsidRPr="00FE0894">
        <w:rPr>
          <w:rFonts w:ascii="Tahoma" w:hAnsi="Tahoma" w:cs="Tahoma"/>
        </w:rPr>
        <w:t>велич</w:t>
      </w:r>
      <w:r>
        <w:rPr>
          <w:rFonts w:ascii="Tahoma" w:hAnsi="Tahoma" w:cs="Tahoma"/>
        </w:rPr>
        <w:t>ение</w:t>
      </w:r>
      <w:r w:rsidRPr="00FE0894">
        <w:rPr>
          <w:rFonts w:ascii="Tahoma" w:hAnsi="Tahoma" w:cs="Tahoma"/>
        </w:rPr>
        <w:t xml:space="preserve"> численност</w:t>
      </w:r>
      <w:r>
        <w:rPr>
          <w:rFonts w:ascii="Tahoma" w:hAnsi="Tahoma" w:cs="Tahoma"/>
        </w:rPr>
        <w:t>и</w:t>
      </w:r>
      <w:r w:rsidRPr="00FE0894">
        <w:rPr>
          <w:rFonts w:ascii="Tahoma" w:hAnsi="Tahoma" w:cs="Tahoma"/>
        </w:rPr>
        <w:t xml:space="preserve"> лиц с неполным высшим образованием </w:t>
      </w:r>
      <w:r>
        <w:rPr>
          <w:rFonts w:ascii="Tahoma" w:hAnsi="Tahoma" w:cs="Tahoma"/>
        </w:rPr>
        <w:t>на 7,5 тыс.человек (на 3</w:t>
      </w:r>
      <w:r w:rsidRPr="00FE0894">
        <w:rPr>
          <w:rFonts w:ascii="Tahoma" w:hAnsi="Tahoma" w:cs="Tahoma"/>
        </w:rPr>
        <w:t>4</w:t>
      </w:r>
      <w:r w:rsidRPr="002603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процента</w:t>
      </w:r>
      <w:r w:rsidRPr="00FE0894">
        <w:rPr>
          <w:rFonts w:ascii="Tahoma" w:hAnsi="Tahoma" w:cs="Tahoma"/>
        </w:rPr>
        <w:t>)</w:t>
      </w:r>
      <w:r>
        <w:rPr>
          <w:rFonts w:ascii="Tahoma" w:hAnsi="Tahoma" w:cs="Tahoma"/>
        </w:rPr>
        <w:t>.</w:t>
      </w:r>
      <w:r w:rsidRPr="00FE0894">
        <w:rPr>
          <w:rFonts w:ascii="Tahoma" w:hAnsi="Tahoma" w:cs="Tahoma"/>
        </w:rPr>
        <w:t xml:space="preserve"> </w:t>
      </w:r>
    </w:p>
    <w:p w:rsidR="007F6A9C" w:rsidRDefault="007F6A9C" w:rsidP="007F6A9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</w:rPr>
        <w:br w:type="page"/>
      </w:r>
    </w:p>
    <w:p w:rsidR="007F6A9C" w:rsidRDefault="007F6A9C" w:rsidP="007F6A9C">
      <w:pPr>
        <w:pStyle w:val="a3"/>
        <w:spacing w:before="120" w:after="0" w:afterAutospacing="0" w:line="360" w:lineRule="auto"/>
        <w:ind w:firstLine="567"/>
        <w:jc w:val="center"/>
        <w:rPr>
          <w:rFonts w:ascii="Tahoma" w:hAnsi="Tahoma" w:cs="Tahoma"/>
          <w:b/>
        </w:rPr>
      </w:pPr>
      <w:r w:rsidRPr="00B1272C">
        <w:rPr>
          <w:rFonts w:ascii="Tahoma" w:hAnsi="Tahoma" w:cs="Tahoma"/>
          <w:b/>
        </w:rPr>
        <w:lastRenderedPageBreak/>
        <w:t>Численность мужчин и женщин г.</w:t>
      </w:r>
      <w:r>
        <w:rPr>
          <w:rFonts w:ascii="Tahoma" w:hAnsi="Tahoma" w:cs="Tahoma"/>
          <w:b/>
          <w:lang w:val="en-US"/>
        </w:rPr>
        <w:t> </w:t>
      </w:r>
      <w:r w:rsidRPr="00B1272C">
        <w:rPr>
          <w:rFonts w:ascii="Tahoma" w:hAnsi="Tahoma" w:cs="Tahoma"/>
          <w:b/>
        </w:rPr>
        <w:t xml:space="preserve">Тольятти </w:t>
      </w:r>
    </w:p>
    <w:p w:rsidR="007F6A9C" w:rsidRDefault="007F6A9C" w:rsidP="007F6A9C">
      <w:pPr>
        <w:pStyle w:val="a3"/>
        <w:spacing w:before="120" w:after="0" w:afterAutospacing="0" w:line="360" w:lineRule="auto"/>
        <w:ind w:firstLine="567"/>
        <w:jc w:val="center"/>
        <w:rPr>
          <w:rFonts w:ascii="Tahoma" w:hAnsi="Tahoma" w:cs="Tahoma"/>
          <w:b/>
        </w:rPr>
      </w:pPr>
      <w:r w:rsidRPr="00B1272C">
        <w:rPr>
          <w:rFonts w:ascii="Tahoma" w:hAnsi="Tahoma" w:cs="Tahoma"/>
          <w:b/>
        </w:rPr>
        <w:t xml:space="preserve">на 1000 человек населения соответственного пола </w:t>
      </w:r>
    </w:p>
    <w:p w:rsidR="007F6A9C" w:rsidRPr="00B1272C" w:rsidRDefault="007F6A9C" w:rsidP="007F6A9C">
      <w:pPr>
        <w:pStyle w:val="a3"/>
        <w:spacing w:before="120" w:after="0" w:afterAutospacing="0" w:line="360" w:lineRule="auto"/>
        <w:ind w:firstLine="567"/>
        <w:jc w:val="center"/>
        <w:rPr>
          <w:rFonts w:ascii="Tahoma" w:hAnsi="Tahoma" w:cs="Tahoma"/>
          <w:b/>
        </w:rPr>
      </w:pPr>
      <w:r w:rsidRPr="00B1272C">
        <w:rPr>
          <w:rFonts w:ascii="Tahoma" w:hAnsi="Tahoma" w:cs="Tahoma"/>
          <w:b/>
        </w:rPr>
        <w:t>в возрасте 15 лет и старше, указавшие уровень образования</w:t>
      </w: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</w:p>
    <w:p w:rsidR="007F6A9C" w:rsidRPr="00BF3DC0" w:rsidRDefault="007F6A9C" w:rsidP="007F6A9C">
      <w:pPr>
        <w:pStyle w:val="a3"/>
        <w:spacing w:before="240" w:after="0" w:afterAutospacing="0" w:line="360" w:lineRule="auto"/>
        <w:ind w:firstLine="567"/>
        <w:jc w:val="center"/>
        <w:rPr>
          <w:rFonts w:ascii="Tahoma" w:hAnsi="Tahoma" w:cs="Tahoma"/>
          <w:u w:val="single"/>
        </w:rPr>
      </w:pPr>
      <w:r w:rsidRPr="00BF3DC0">
        <w:rPr>
          <w:rFonts w:ascii="Tahoma" w:hAnsi="Tahoma" w:cs="Tahoma"/>
          <w:u w:val="single"/>
        </w:rPr>
        <w:t>Мужчины</w:t>
      </w: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5365115" cy="2710815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F6A9C" w:rsidRPr="00BF3DC0" w:rsidRDefault="007F6A9C" w:rsidP="007F6A9C">
      <w:pPr>
        <w:pStyle w:val="a3"/>
        <w:spacing w:before="240" w:after="0" w:afterAutospacing="0" w:line="360" w:lineRule="auto"/>
        <w:ind w:firstLine="567"/>
        <w:jc w:val="center"/>
        <w:rPr>
          <w:rFonts w:ascii="Tahoma" w:hAnsi="Tahoma" w:cs="Tahoma"/>
          <w:u w:val="single"/>
        </w:rPr>
      </w:pPr>
      <w:r w:rsidRPr="00BF3DC0">
        <w:rPr>
          <w:rFonts w:ascii="Tahoma" w:hAnsi="Tahoma" w:cs="Tahoma"/>
          <w:u w:val="single"/>
        </w:rPr>
        <w:t>Женщины</w:t>
      </w:r>
    </w:p>
    <w:p w:rsidR="008865F0" w:rsidRDefault="007F6A9C" w:rsidP="007F6A9C">
      <w:pPr>
        <w:pStyle w:val="a3"/>
        <w:spacing w:before="240" w:after="0" w:afterAutospacing="0" w:line="360" w:lineRule="auto"/>
        <w:ind w:firstLine="567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5340985" cy="27432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865F0" w:rsidRDefault="008865F0">
      <w:pPr>
        <w:rPr>
          <w:rFonts w:ascii="Tahoma" w:eastAsia="Times New Roman" w:hAnsi="Tahoma" w:cs="Tahoma"/>
          <w:sz w:val="24"/>
          <w:szCs w:val="24"/>
        </w:rPr>
      </w:pPr>
      <w:r>
        <w:rPr>
          <w:rFonts w:ascii="Tahoma" w:hAnsi="Tahoma" w:cs="Tahoma"/>
        </w:rPr>
        <w:br w:type="page"/>
      </w: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center"/>
        <w:rPr>
          <w:rFonts w:ascii="Tahoma" w:hAnsi="Tahoma" w:cs="Tahoma"/>
        </w:rPr>
      </w:pPr>
    </w:p>
    <w:p w:rsidR="007F6A9C" w:rsidRPr="005474A7" w:rsidRDefault="007F6A9C" w:rsidP="007F6A9C">
      <w:pPr>
        <w:pStyle w:val="a3"/>
        <w:spacing w:before="240" w:after="0" w:afterAutospacing="0" w:line="360" w:lineRule="auto"/>
        <w:ind w:firstLine="567"/>
        <w:jc w:val="center"/>
        <w:rPr>
          <w:rFonts w:ascii="Tahoma" w:hAnsi="Tahoma" w:cs="Tahoma"/>
          <w:b/>
        </w:rPr>
      </w:pPr>
      <w:r w:rsidRPr="005474A7">
        <w:rPr>
          <w:rFonts w:ascii="Tahoma" w:hAnsi="Tahoma" w:cs="Tahoma"/>
          <w:b/>
        </w:rPr>
        <w:t xml:space="preserve">Уровень образования населения </w:t>
      </w:r>
      <w:r>
        <w:rPr>
          <w:rFonts w:ascii="Tahoma" w:hAnsi="Tahoma" w:cs="Tahoma"/>
          <w:b/>
        </w:rPr>
        <w:t xml:space="preserve">по районам </w:t>
      </w:r>
      <w:r w:rsidRPr="005474A7">
        <w:rPr>
          <w:rFonts w:ascii="Tahoma" w:hAnsi="Tahoma" w:cs="Tahoma"/>
          <w:b/>
        </w:rPr>
        <w:t>г.</w:t>
      </w:r>
      <w:r>
        <w:rPr>
          <w:rFonts w:ascii="Tahoma" w:hAnsi="Tahoma" w:cs="Tahoma"/>
          <w:b/>
          <w:lang w:val="en-US"/>
        </w:rPr>
        <w:t> </w:t>
      </w:r>
      <w:r w:rsidRPr="005474A7">
        <w:rPr>
          <w:rFonts w:ascii="Tahoma" w:hAnsi="Tahoma" w:cs="Tahoma"/>
          <w:b/>
        </w:rPr>
        <w:t>Тольятти</w:t>
      </w:r>
    </w:p>
    <w:p w:rsidR="007F6A9C" w:rsidRPr="008865F0" w:rsidRDefault="007F6A9C" w:rsidP="007F6A9C">
      <w:pPr>
        <w:pStyle w:val="a3"/>
        <w:spacing w:before="240" w:after="0" w:afterAutospacing="0" w:line="360" w:lineRule="auto"/>
        <w:ind w:firstLine="567"/>
        <w:jc w:val="center"/>
        <w:rPr>
          <w:rFonts w:ascii="Tahoma" w:hAnsi="Tahoma" w:cs="Tahoma"/>
          <w:sz w:val="22"/>
          <w:szCs w:val="22"/>
        </w:rPr>
      </w:pPr>
      <w:r w:rsidRPr="008865F0">
        <w:rPr>
          <w:rFonts w:ascii="Tahoma" w:hAnsi="Tahoma" w:cs="Tahoma"/>
          <w:sz w:val="22"/>
          <w:szCs w:val="22"/>
        </w:rPr>
        <w:t>(на 1000 человек населения, по данным переписей населения)</w:t>
      </w:r>
    </w:p>
    <w:p w:rsidR="007F6A9C" w:rsidRPr="00D43487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5931462" cy="3479575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Впервые в переписи населения были учтены данные по ступеням высшего профессионального образования. Таким образом, в г.</w:t>
      </w:r>
      <w:r>
        <w:rPr>
          <w:rFonts w:ascii="Tahoma" w:hAnsi="Tahoma" w:cs="Tahoma"/>
          <w:lang w:val="en-US"/>
        </w:rPr>
        <w:t> </w:t>
      </w:r>
      <w:r>
        <w:rPr>
          <w:rFonts w:ascii="Tahoma" w:hAnsi="Tahoma" w:cs="Tahoma"/>
        </w:rPr>
        <w:t>Тольятти из общей численности населения с высшим образованием (149,9 тыс.человек): 92,5 процента имеют степень специалиста, 5,1 процент – бакалавра и 2,4 процента – магистра. Такое распределение не сильно отличается от аналогичной структуры по Самарской области и России в целом.</w:t>
      </w:r>
    </w:p>
    <w:p w:rsidR="007F6A9C" w:rsidRDefault="008865F0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</w:t>
      </w:r>
      <w:r w:rsidR="007F6A9C">
        <w:rPr>
          <w:rFonts w:ascii="Tahoma" w:hAnsi="Tahoma" w:cs="Tahoma"/>
        </w:rPr>
        <w:t>первые были получены сведения о численности лиц, имеющих ученые степени. В г. Тольятти 1426 кандидатов наук (из них 51 процент – женщины) и 263 доктора наук (из них 40 процентов женщины), наибольшая доля в их общей численности приходится на трудоспособные возраста: 62 и 72 процента, соответственно.</w:t>
      </w:r>
    </w:p>
    <w:p w:rsidR="007F6A9C" w:rsidRDefault="007F6A9C" w:rsidP="007F6A9C">
      <w:pPr>
        <w:pStyle w:val="a3"/>
        <w:spacing w:before="120" w:after="0" w:afterAutospacing="0" w:line="360" w:lineRule="auto"/>
        <w:ind w:firstLine="567"/>
        <w:jc w:val="center"/>
        <w:rPr>
          <w:rFonts w:ascii="Tahoma" w:hAnsi="Tahoma" w:cs="Tahoma"/>
          <w:b/>
        </w:rPr>
      </w:pPr>
    </w:p>
    <w:p w:rsidR="007F6A9C" w:rsidRDefault="007F6A9C" w:rsidP="007F6A9C">
      <w:pPr>
        <w:pStyle w:val="a3"/>
        <w:spacing w:before="120" w:after="0" w:afterAutospacing="0" w:line="360" w:lineRule="auto"/>
        <w:ind w:firstLine="567"/>
        <w:jc w:val="center"/>
        <w:rPr>
          <w:rFonts w:ascii="Tahoma" w:hAnsi="Tahoma" w:cs="Tahoma"/>
          <w:b/>
        </w:rPr>
      </w:pPr>
    </w:p>
    <w:p w:rsidR="007F6A9C" w:rsidRPr="00260346" w:rsidRDefault="007F6A9C" w:rsidP="007F6A9C">
      <w:pPr>
        <w:pStyle w:val="a3"/>
        <w:spacing w:before="120" w:after="0" w:afterAutospacing="0" w:line="360" w:lineRule="auto"/>
        <w:ind w:firstLine="567"/>
        <w:jc w:val="center"/>
        <w:rPr>
          <w:rFonts w:ascii="Tahoma" w:hAnsi="Tahoma" w:cs="Tahoma"/>
          <w:b/>
        </w:rPr>
      </w:pPr>
      <w:r w:rsidRPr="00260346">
        <w:rPr>
          <w:rFonts w:ascii="Tahoma" w:hAnsi="Tahoma" w:cs="Tahoma"/>
          <w:b/>
        </w:rPr>
        <w:t>Распределение населения г.</w:t>
      </w:r>
      <w:r>
        <w:rPr>
          <w:rFonts w:ascii="Tahoma" w:hAnsi="Tahoma" w:cs="Tahoma"/>
          <w:b/>
        </w:rPr>
        <w:t> </w:t>
      </w:r>
      <w:r w:rsidRPr="00260346">
        <w:rPr>
          <w:rFonts w:ascii="Tahoma" w:hAnsi="Tahoma" w:cs="Tahoma"/>
          <w:b/>
        </w:rPr>
        <w:t>Тольятти по ученым степеням</w:t>
      </w:r>
    </w:p>
    <w:p w:rsidR="007F6A9C" w:rsidRDefault="007F6A9C" w:rsidP="007F6A9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7F6A9C" w:rsidRPr="00260346" w:rsidRDefault="007F6A9C" w:rsidP="007F6A9C">
      <w:pPr>
        <w:spacing w:after="0" w:line="240" w:lineRule="auto"/>
        <w:jc w:val="right"/>
        <w:rPr>
          <w:rFonts w:ascii="Tahoma" w:hAnsi="Tahoma" w:cs="Tahoma"/>
          <w:i/>
          <w:sz w:val="20"/>
          <w:szCs w:val="20"/>
        </w:rPr>
      </w:pPr>
      <w:r w:rsidRPr="00260346">
        <w:rPr>
          <w:rFonts w:ascii="Tahoma" w:hAnsi="Tahoma" w:cs="Tahoma"/>
          <w:i/>
          <w:sz w:val="20"/>
          <w:szCs w:val="20"/>
        </w:rPr>
        <w:t>человек</w:t>
      </w:r>
    </w:p>
    <w:p w:rsidR="007F6A9C" w:rsidRPr="00260346" w:rsidRDefault="008865F0" w:rsidP="007F6A9C">
      <w:pPr>
        <w:pStyle w:val="a3"/>
        <w:spacing w:before="240" w:after="0" w:afterAutospacing="0" w:line="360" w:lineRule="auto"/>
        <w:ind w:firstLine="567"/>
        <w:jc w:val="center"/>
        <w:rPr>
          <w:rFonts w:ascii="Tahoma" w:hAnsi="Tahoma" w:cs="Tahoma"/>
        </w:rPr>
      </w:pPr>
      <w:r w:rsidRPr="008865F0">
        <w:rPr>
          <w:rFonts w:ascii="Tahoma" w:hAnsi="Tahoma" w:cs="Tahoma"/>
        </w:rPr>
        <w:drawing>
          <wp:inline distT="0" distB="0" distL="0" distR="0">
            <wp:extent cx="5219700" cy="3295650"/>
            <wp:effectExtent l="0" t="0" r="0" b="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</w:p>
    <w:p w:rsidR="007F6A9C" w:rsidRDefault="007F6A9C" w:rsidP="007F6A9C">
      <w:pPr>
        <w:pStyle w:val="a3"/>
        <w:spacing w:before="240" w:after="0" w:afterAutospacing="0" w:line="360" w:lineRule="auto"/>
        <w:ind w:firstLine="567"/>
        <w:jc w:val="both"/>
        <w:rPr>
          <w:rFonts w:ascii="Tahoma" w:hAnsi="Tahoma" w:cs="Tahoma"/>
        </w:rPr>
      </w:pPr>
      <w:r w:rsidRPr="00DC5AE1">
        <w:rPr>
          <w:rFonts w:ascii="Tahoma" w:hAnsi="Tahoma" w:cs="Tahoma"/>
        </w:rPr>
        <w:t xml:space="preserve">Следует отметить уменьшение доли неграмотного населения в возрасте 15 лет и более. Если в </w:t>
      </w:r>
      <w:smartTag w:uri="urn:schemas-microsoft-com:office:smarttags" w:element="metricconverter">
        <w:smartTagPr>
          <w:attr w:name="ProductID" w:val="2002 г"/>
        </w:smartTagPr>
        <w:r w:rsidRPr="00DC5AE1">
          <w:rPr>
            <w:rFonts w:ascii="Tahoma" w:hAnsi="Tahoma" w:cs="Tahoma"/>
          </w:rPr>
          <w:t>2002 г</w:t>
        </w:r>
      </w:smartTag>
      <w:r w:rsidRPr="00DC5AE1">
        <w:rPr>
          <w:rFonts w:ascii="Tahoma" w:hAnsi="Tahoma" w:cs="Tahoma"/>
        </w:rPr>
        <w:t xml:space="preserve">. доля неграмотных в этой возрастной группе составляла 0,15 процентов, то в </w:t>
      </w:r>
      <w:smartTag w:uri="urn:schemas-microsoft-com:office:smarttags" w:element="metricconverter">
        <w:smartTagPr>
          <w:attr w:name="ProductID" w:val="2010 г"/>
        </w:smartTagPr>
        <w:r w:rsidRPr="00DC5AE1">
          <w:rPr>
            <w:rFonts w:ascii="Tahoma" w:hAnsi="Tahoma" w:cs="Tahoma"/>
          </w:rPr>
          <w:t>2010 г</w:t>
        </w:r>
      </w:smartTag>
      <w:r w:rsidRPr="00DC5AE1">
        <w:rPr>
          <w:rFonts w:ascii="Tahoma" w:hAnsi="Tahoma" w:cs="Tahoma"/>
        </w:rPr>
        <w:t xml:space="preserve">. – 0,09 процента. Среди неграмотного населения 31 процент – это лица в возрасте 70 лет и более (в </w:t>
      </w:r>
      <w:smartTag w:uri="urn:schemas-microsoft-com:office:smarttags" w:element="metricconverter">
        <w:smartTagPr>
          <w:attr w:name="ProductID" w:val="2002 г"/>
        </w:smartTagPr>
        <w:r w:rsidRPr="00DC5AE1">
          <w:rPr>
            <w:rFonts w:ascii="Tahoma" w:hAnsi="Tahoma" w:cs="Tahoma"/>
          </w:rPr>
          <w:t>2002 г</w:t>
        </w:r>
      </w:smartTag>
      <w:r w:rsidRPr="00DC5AE1">
        <w:rPr>
          <w:rFonts w:ascii="Tahoma" w:hAnsi="Tahoma" w:cs="Tahoma"/>
        </w:rPr>
        <w:t>. – 66 процентов).</w:t>
      </w:r>
      <w:r w:rsidRPr="00DC5F94">
        <w:rPr>
          <w:rFonts w:ascii="Tahoma" w:hAnsi="Tahoma" w:cs="Tahoma"/>
        </w:rPr>
        <w:t xml:space="preserve">  </w:t>
      </w:r>
    </w:p>
    <w:p w:rsidR="007F6A9C" w:rsidRPr="00632541" w:rsidRDefault="007F6A9C" w:rsidP="007F6A9C">
      <w:pPr>
        <w:pStyle w:val="2"/>
        <w:spacing w:before="240" w:after="0" w:line="360" w:lineRule="auto"/>
        <w:ind w:firstLine="550"/>
        <w:jc w:val="both"/>
        <w:rPr>
          <w:rFonts w:ascii="Tahoma" w:hAnsi="Tahoma" w:cs="Tahoma"/>
          <w:sz w:val="24"/>
          <w:szCs w:val="24"/>
        </w:rPr>
      </w:pPr>
      <w:r w:rsidRPr="00632541">
        <w:rPr>
          <w:rFonts w:ascii="Tahoma" w:hAnsi="Tahoma" w:cs="Tahoma"/>
          <w:sz w:val="24"/>
          <w:szCs w:val="24"/>
        </w:rPr>
        <w:t>Впервые при переписи были получены данные о посещении детьми дошкольных образовательных учреждений. В г.</w:t>
      </w:r>
      <w:r>
        <w:rPr>
          <w:rFonts w:ascii="Tahoma" w:hAnsi="Tahoma" w:cs="Tahoma"/>
          <w:sz w:val="24"/>
          <w:szCs w:val="24"/>
        </w:rPr>
        <w:t> </w:t>
      </w:r>
      <w:r w:rsidRPr="00632541">
        <w:rPr>
          <w:rFonts w:ascii="Tahoma" w:hAnsi="Tahoma" w:cs="Tahoma"/>
          <w:sz w:val="24"/>
          <w:szCs w:val="24"/>
        </w:rPr>
        <w:t xml:space="preserve">Тольятти дошкольные образовательные учреждения посещают только 28,3 тыс. детей в возрасте до 9 лет, </w:t>
      </w:r>
      <w:r>
        <w:rPr>
          <w:rFonts w:ascii="Tahoma" w:hAnsi="Tahoma" w:cs="Tahoma"/>
          <w:sz w:val="24"/>
          <w:szCs w:val="24"/>
        </w:rPr>
        <w:t>охват детей 3-6 </w:t>
      </w:r>
      <w:r w:rsidRPr="00632541">
        <w:rPr>
          <w:rFonts w:ascii="Tahoma" w:hAnsi="Tahoma" w:cs="Tahoma"/>
          <w:sz w:val="24"/>
          <w:szCs w:val="24"/>
        </w:rPr>
        <w:t xml:space="preserve">лет дошкольным образованием составил 23,6 тыс.человек. В возрасте 6-9 лет </w:t>
      </w:r>
      <w:r>
        <w:rPr>
          <w:rFonts w:ascii="Tahoma" w:hAnsi="Tahoma" w:cs="Tahoma"/>
          <w:sz w:val="24"/>
          <w:szCs w:val="24"/>
        </w:rPr>
        <w:t>20 </w:t>
      </w:r>
      <w:r w:rsidRPr="00632541">
        <w:rPr>
          <w:rFonts w:ascii="Tahoma" w:hAnsi="Tahoma" w:cs="Tahoma"/>
          <w:sz w:val="24"/>
          <w:szCs w:val="24"/>
        </w:rPr>
        <w:t>тыс. детей, или 73 процента обучаются в общеобразовательных учреждениях, а 21 процент детей этого возраста продолжают посещать дошкольные учреждения.</w:t>
      </w:r>
    </w:p>
    <w:p w:rsidR="007F6A9C" w:rsidRDefault="007F6A9C" w:rsidP="007F6A9C">
      <w:pPr>
        <w:pStyle w:val="a3"/>
        <w:spacing w:before="120" w:after="0" w:afterAutospacing="0" w:line="360" w:lineRule="auto"/>
        <w:ind w:firstLine="567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  <w:r w:rsidRPr="007D27B6">
        <w:rPr>
          <w:rFonts w:ascii="Tahoma" w:hAnsi="Tahoma" w:cs="Tahoma"/>
          <w:b/>
        </w:rPr>
        <w:lastRenderedPageBreak/>
        <w:t xml:space="preserve">Охват детей в возрасте 0-9 лет </w:t>
      </w:r>
    </w:p>
    <w:p w:rsidR="007F6A9C" w:rsidRPr="007D27B6" w:rsidRDefault="007F6A9C" w:rsidP="007F6A9C">
      <w:pPr>
        <w:pStyle w:val="a3"/>
        <w:spacing w:before="120" w:after="120" w:afterAutospacing="0" w:line="360" w:lineRule="auto"/>
        <w:ind w:firstLine="567"/>
        <w:jc w:val="center"/>
        <w:rPr>
          <w:rFonts w:ascii="Tahoma" w:hAnsi="Tahoma" w:cs="Tahoma"/>
          <w:b/>
        </w:rPr>
      </w:pPr>
      <w:r w:rsidRPr="007D27B6">
        <w:rPr>
          <w:rFonts w:ascii="Tahoma" w:hAnsi="Tahoma" w:cs="Tahoma"/>
          <w:b/>
        </w:rPr>
        <w:t xml:space="preserve">дошкольным и школьным обучением </w:t>
      </w:r>
      <w:r>
        <w:rPr>
          <w:rFonts w:ascii="Tahoma" w:hAnsi="Tahoma" w:cs="Tahoma"/>
          <w:b/>
        </w:rPr>
        <w:t>в г.Тольятти</w:t>
      </w:r>
    </w:p>
    <w:tbl>
      <w:tblPr>
        <w:tblW w:w="9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38"/>
        <w:gridCol w:w="1134"/>
        <w:gridCol w:w="942"/>
        <w:gridCol w:w="990"/>
        <w:gridCol w:w="770"/>
        <w:gridCol w:w="1114"/>
      </w:tblGrid>
      <w:tr w:rsidR="007F6A9C" w:rsidRPr="007D27B6" w:rsidTr="001E609F">
        <w:tc>
          <w:tcPr>
            <w:tcW w:w="4838" w:type="dxa"/>
            <w:vMerge w:val="restart"/>
            <w:vAlign w:val="center"/>
          </w:tcPr>
          <w:p w:rsidR="007F6A9C" w:rsidRPr="007D27B6" w:rsidRDefault="007F6A9C" w:rsidP="001E609F">
            <w:pPr>
              <w:pStyle w:val="2"/>
              <w:spacing w:before="60" w:after="6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F6A9C" w:rsidRPr="007D27B6" w:rsidRDefault="007F6A9C" w:rsidP="001E609F">
            <w:pPr>
              <w:pStyle w:val="2"/>
              <w:spacing w:before="60" w:after="60" w:line="240" w:lineRule="auto"/>
              <w:ind w:left="-108" w:right="-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D27B6">
              <w:rPr>
                <w:rFonts w:ascii="Tahoma" w:hAnsi="Tahoma" w:cs="Tahoma"/>
                <w:sz w:val="24"/>
                <w:szCs w:val="24"/>
              </w:rPr>
              <w:t>Всего, человек</w:t>
            </w:r>
          </w:p>
        </w:tc>
        <w:tc>
          <w:tcPr>
            <w:tcW w:w="3816" w:type="dxa"/>
            <w:gridSpan w:val="4"/>
            <w:vAlign w:val="center"/>
          </w:tcPr>
          <w:p w:rsidR="007F6A9C" w:rsidRPr="007D27B6" w:rsidRDefault="007F6A9C" w:rsidP="001E609F">
            <w:pPr>
              <w:pStyle w:val="2"/>
              <w:spacing w:before="60" w:after="6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D27B6">
              <w:rPr>
                <w:rFonts w:ascii="Tahoma" w:hAnsi="Tahoma" w:cs="Tahoma"/>
                <w:sz w:val="24"/>
                <w:szCs w:val="24"/>
              </w:rPr>
              <w:t>в том числе в возрасте, лет</w:t>
            </w:r>
          </w:p>
        </w:tc>
      </w:tr>
      <w:tr w:rsidR="007F6A9C" w:rsidRPr="007D27B6" w:rsidTr="001E609F">
        <w:tc>
          <w:tcPr>
            <w:tcW w:w="4838" w:type="dxa"/>
            <w:vMerge/>
            <w:tcBorders>
              <w:bottom w:val="single" w:sz="4" w:space="0" w:color="auto"/>
            </w:tcBorders>
            <w:vAlign w:val="center"/>
          </w:tcPr>
          <w:p w:rsidR="007F6A9C" w:rsidRPr="007D27B6" w:rsidRDefault="007F6A9C" w:rsidP="001E609F">
            <w:pPr>
              <w:pStyle w:val="2"/>
              <w:spacing w:before="60" w:after="6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F6A9C" w:rsidRPr="007D27B6" w:rsidRDefault="007F6A9C" w:rsidP="001E609F">
            <w:pPr>
              <w:pStyle w:val="2"/>
              <w:spacing w:before="60" w:after="6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:rsidR="007F6A9C" w:rsidRPr="007D27B6" w:rsidRDefault="007F6A9C" w:rsidP="001E609F">
            <w:pPr>
              <w:pStyle w:val="2"/>
              <w:spacing w:before="60" w:after="6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D27B6">
              <w:rPr>
                <w:rFonts w:ascii="Tahoma" w:hAnsi="Tahoma" w:cs="Tahoma"/>
                <w:sz w:val="24"/>
                <w:szCs w:val="24"/>
              </w:rPr>
              <w:t>0-2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7F6A9C" w:rsidRPr="007D27B6" w:rsidRDefault="007F6A9C" w:rsidP="001E609F">
            <w:pPr>
              <w:pStyle w:val="2"/>
              <w:spacing w:before="60" w:after="6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D27B6">
              <w:rPr>
                <w:rFonts w:ascii="Tahoma" w:hAnsi="Tahoma" w:cs="Tahoma"/>
                <w:sz w:val="24"/>
                <w:szCs w:val="24"/>
              </w:rPr>
              <w:t>3-5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:rsidR="007F6A9C" w:rsidRPr="007D27B6" w:rsidRDefault="007F6A9C" w:rsidP="001E609F">
            <w:pPr>
              <w:pStyle w:val="2"/>
              <w:spacing w:before="60" w:after="6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D27B6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:rsidR="007F6A9C" w:rsidRPr="007D27B6" w:rsidRDefault="007F6A9C" w:rsidP="001E609F">
            <w:pPr>
              <w:pStyle w:val="2"/>
              <w:spacing w:before="60" w:after="6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D27B6">
              <w:rPr>
                <w:rFonts w:ascii="Tahoma" w:hAnsi="Tahoma" w:cs="Tahoma"/>
                <w:sz w:val="24"/>
                <w:szCs w:val="24"/>
              </w:rPr>
              <w:t>7-9</w:t>
            </w:r>
          </w:p>
        </w:tc>
      </w:tr>
      <w:tr w:rsidR="007F6A9C" w:rsidRPr="007D27B6" w:rsidTr="001E609F">
        <w:tc>
          <w:tcPr>
            <w:tcW w:w="48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7D27B6">
              <w:rPr>
                <w:rFonts w:ascii="Tahoma" w:hAnsi="Tahoma" w:cs="Tahoma"/>
                <w:sz w:val="24"/>
                <w:szCs w:val="24"/>
              </w:rPr>
              <w:t>Дети в возрасте 0-9 лет</w:t>
            </w:r>
          </w:p>
          <w:p w:rsidR="007F6A9C" w:rsidRPr="007D27B6" w:rsidRDefault="007F6A9C" w:rsidP="001E609F">
            <w:pPr>
              <w:pStyle w:val="2"/>
              <w:spacing w:before="120"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7D27B6">
              <w:rPr>
                <w:rFonts w:ascii="Tahoma" w:hAnsi="Tahoma" w:cs="Tahoma"/>
                <w:sz w:val="24"/>
                <w:szCs w:val="24"/>
              </w:rPr>
              <w:t xml:space="preserve">       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73180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24145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21788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7246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20001</w:t>
            </w:r>
          </w:p>
        </w:tc>
      </w:tr>
      <w:tr w:rsidR="007F6A9C" w:rsidRPr="007D27B6" w:rsidTr="001E609F">
        <w:tc>
          <w:tcPr>
            <w:tcW w:w="4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-</w:t>
            </w:r>
            <w:r w:rsidRPr="007D27B6">
              <w:rPr>
                <w:rFonts w:ascii="Tahoma" w:hAnsi="Tahoma" w:cs="Tahoma"/>
                <w:sz w:val="24"/>
                <w:szCs w:val="24"/>
              </w:rPr>
              <w:t xml:space="preserve"> посещающие общеобразовательные учреждения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20024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D27B6">
              <w:rPr>
                <w:rFonts w:ascii="Tahoma" w:hAnsi="Tahoma" w:cs="Tahoma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D27B6">
              <w:rPr>
                <w:rFonts w:ascii="Tahoma" w:hAnsi="Tahoma" w:cs="Tahoma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1118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18906</w:t>
            </w:r>
          </w:p>
        </w:tc>
      </w:tr>
      <w:tr w:rsidR="007F6A9C" w:rsidRPr="007D27B6" w:rsidTr="001E609F">
        <w:tc>
          <w:tcPr>
            <w:tcW w:w="4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ind w:left="142" w:hanging="142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7D27B6">
              <w:rPr>
                <w:rFonts w:ascii="Tahoma" w:hAnsi="Tahoma" w:cs="Tahoma"/>
                <w:sz w:val="24"/>
                <w:szCs w:val="24"/>
              </w:rPr>
              <w:t>посещающие дошкольные образовательные учреждения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28286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4254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18356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5289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387</w:t>
            </w:r>
          </w:p>
        </w:tc>
      </w:tr>
      <w:tr w:rsidR="007F6A9C" w:rsidRPr="007D27B6" w:rsidTr="001E609F">
        <w:tc>
          <w:tcPr>
            <w:tcW w:w="4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ind w:left="142" w:hanging="142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7D27B6">
              <w:rPr>
                <w:rFonts w:ascii="Tahoma" w:hAnsi="Tahoma" w:cs="Tahoma"/>
                <w:sz w:val="24"/>
                <w:szCs w:val="24"/>
              </w:rPr>
              <w:t xml:space="preserve">не посещающие общеобразовательные и дошкольные образовательные учреждения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22821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19130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2858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616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217</w:t>
            </w:r>
          </w:p>
        </w:tc>
      </w:tr>
      <w:tr w:rsidR="007F6A9C" w:rsidRPr="007D27B6" w:rsidTr="001E609F"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7D27B6">
              <w:rPr>
                <w:rFonts w:ascii="Tahoma" w:hAnsi="Tahoma" w:cs="Tahoma"/>
                <w:sz w:val="24"/>
                <w:szCs w:val="24"/>
              </w:rPr>
              <w:t>не указавшие посещение перечисленных учреждений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2049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574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223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6A9C" w:rsidRPr="007D27B6" w:rsidRDefault="007F6A9C" w:rsidP="001E609F">
            <w:pPr>
              <w:pStyle w:val="2"/>
              <w:spacing w:before="120"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491</w:t>
            </w:r>
          </w:p>
        </w:tc>
      </w:tr>
    </w:tbl>
    <w:p w:rsidR="007F6A9C" w:rsidRPr="001B1124" w:rsidRDefault="007F6A9C" w:rsidP="007F6A9C">
      <w:pPr>
        <w:pStyle w:val="2"/>
        <w:spacing w:before="240" w:after="0" w:line="360" w:lineRule="auto"/>
        <w:ind w:firstLine="550"/>
        <w:jc w:val="both"/>
        <w:rPr>
          <w:rFonts w:ascii="Tahoma" w:hAnsi="Tahoma" w:cs="Tahoma"/>
          <w:sz w:val="24"/>
          <w:szCs w:val="24"/>
        </w:rPr>
      </w:pPr>
      <w:r w:rsidRPr="001B1124">
        <w:rPr>
          <w:rFonts w:ascii="Tahoma" w:hAnsi="Tahoma" w:cs="Tahoma"/>
          <w:sz w:val="24"/>
          <w:szCs w:val="24"/>
        </w:rPr>
        <w:t>Если не рассматривать возрастной период до трех лет, когда матер</w:t>
      </w:r>
      <w:r>
        <w:rPr>
          <w:rFonts w:ascii="Tahoma" w:hAnsi="Tahoma" w:cs="Tahoma"/>
          <w:sz w:val="24"/>
          <w:szCs w:val="24"/>
        </w:rPr>
        <w:t>и имеют</w:t>
      </w:r>
      <w:r w:rsidRPr="001B1124">
        <w:rPr>
          <w:rFonts w:ascii="Tahoma" w:hAnsi="Tahoma" w:cs="Tahoma"/>
          <w:sz w:val="24"/>
          <w:szCs w:val="24"/>
        </w:rPr>
        <w:t xml:space="preserve"> прав</w:t>
      </w:r>
      <w:r>
        <w:rPr>
          <w:rFonts w:ascii="Tahoma" w:hAnsi="Tahoma" w:cs="Tahoma"/>
          <w:sz w:val="24"/>
          <w:szCs w:val="24"/>
        </w:rPr>
        <w:t>о</w:t>
      </w:r>
      <w:r w:rsidRPr="001B1124">
        <w:rPr>
          <w:rFonts w:ascii="Tahoma" w:hAnsi="Tahoma" w:cs="Tahoma"/>
          <w:sz w:val="24"/>
          <w:szCs w:val="24"/>
        </w:rPr>
        <w:t xml:space="preserve"> на предоставляемый государством отпуск по уходу за ребенком до достижения им трехлетнего возраста</w:t>
      </w:r>
      <w:r>
        <w:rPr>
          <w:rFonts w:ascii="Tahoma" w:hAnsi="Tahoma" w:cs="Tahoma"/>
          <w:sz w:val="24"/>
          <w:szCs w:val="24"/>
        </w:rPr>
        <w:t>, ситуация с посещением общеобразовательных и дошкольных образовательных учреждений в возрасте 3-9 лет в г. Тольятти выглядит следующим образом:</w:t>
      </w:r>
    </w:p>
    <w:p w:rsidR="00D410FE" w:rsidRDefault="007F6A9C" w:rsidP="008865F0">
      <w:pPr>
        <w:pStyle w:val="a3"/>
        <w:spacing w:before="0" w:after="0" w:afterAutospacing="0" w:line="360" w:lineRule="auto"/>
        <w:ind w:firstLine="567"/>
        <w:jc w:val="center"/>
      </w:pPr>
      <w:r>
        <w:rPr>
          <w:noProof/>
        </w:rPr>
        <w:drawing>
          <wp:inline distT="0" distB="0" distL="0" distR="0">
            <wp:extent cx="5227320" cy="326136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D410FE" w:rsidSect="008647E3">
      <w:headerReference w:type="default" r:id="rId13"/>
      <w:footerReference w:type="default" r:id="rId14"/>
      <w:pgSz w:w="11906" w:h="16838" w:code="9"/>
      <w:pgMar w:top="1134" w:right="1134" w:bottom="1134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BE4" w:rsidRDefault="00475BE4" w:rsidP="00780FBA">
      <w:pPr>
        <w:spacing w:after="0" w:line="240" w:lineRule="auto"/>
      </w:pPr>
      <w:r>
        <w:separator/>
      </w:r>
    </w:p>
  </w:endnote>
  <w:endnote w:type="continuationSeparator" w:id="1">
    <w:p w:rsidR="00475BE4" w:rsidRDefault="00475BE4" w:rsidP="00780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597" w:rsidRDefault="00475BE4">
    <w:pPr>
      <w:pStyle w:val="a6"/>
    </w:pPr>
  </w:p>
  <w:p w:rsidR="000E7597" w:rsidRPr="00C85883" w:rsidRDefault="00475BE4" w:rsidP="00C85883">
    <w:pPr>
      <w:pStyle w:val="a4"/>
      <w:pBdr>
        <w:top w:val="single" w:sz="4" w:space="1" w:color="auto"/>
      </w:pBdr>
      <w:rPr>
        <w:sz w:val="16"/>
        <w:szCs w:val="16"/>
      </w:rPr>
    </w:pPr>
  </w:p>
  <w:p w:rsidR="000E7597" w:rsidRDefault="00D410FE" w:rsidP="00C85883">
    <w:pPr>
      <w:pStyle w:val="a4"/>
      <w:pBdr>
        <w:top w:val="single" w:sz="4" w:space="1" w:color="auto"/>
      </w:pBdr>
    </w:pPr>
    <w:r w:rsidRPr="00C85883">
      <w:rPr>
        <w:b/>
        <w:i/>
      </w:rPr>
      <w:t>Отдел государственной статистики по г.Тольятти</w:t>
    </w:r>
    <w:r>
      <w:t xml:space="preserve">   </w:t>
    </w:r>
    <w:r>
      <w:tab/>
      <w:t xml:space="preserve"> </w:t>
    </w:r>
    <w:r w:rsidR="00B4176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5" type="#_x0000_t75" alt="01" style="width:127.45pt;height:33.1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BE4" w:rsidRDefault="00475BE4" w:rsidP="00780FBA">
      <w:pPr>
        <w:spacing w:after="0" w:line="240" w:lineRule="auto"/>
      </w:pPr>
      <w:r>
        <w:separator/>
      </w:r>
    </w:p>
  </w:footnote>
  <w:footnote w:type="continuationSeparator" w:id="1">
    <w:p w:rsidR="00475BE4" w:rsidRDefault="00475BE4" w:rsidP="00780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597" w:rsidRDefault="00780FBA">
    <w:pPr>
      <w:pStyle w:val="a4"/>
      <w:jc w:val="center"/>
    </w:pPr>
    <w:r>
      <w:fldChar w:fldCharType="begin"/>
    </w:r>
    <w:r w:rsidR="00D410FE">
      <w:instrText xml:space="preserve"> PAGE   \* MERGEFORMAT </w:instrText>
    </w:r>
    <w:r>
      <w:fldChar w:fldCharType="separate"/>
    </w:r>
    <w:r w:rsidR="008865F0">
      <w:rPr>
        <w:noProof/>
      </w:rPr>
      <w:t>10</w:t>
    </w:r>
    <w:r>
      <w:fldChar w:fldCharType="end"/>
    </w:r>
  </w:p>
  <w:p w:rsidR="000E7597" w:rsidRDefault="00475BE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F6A9C"/>
    <w:rsid w:val="00475BE4"/>
    <w:rsid w:val="00780FBA"/>
    <w:rsid w:val="007F6A9C"/>
    <w:rsid w:val="008865F0"/>
    <w:rsid w:val="00B41768"/>
    <w:rsid w:val="00D41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F6A9C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7F6A9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7F6A9C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7F6A9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7F6A9C"/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uiPriority w:val="99"/>
    <w:semiHidden/>
    <w:rsid w:val="007F6A9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F6A9C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F6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A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2;&#1086;&#1080;%20&#1076;&#1086;&#1082;&#1091;&#1084;&#1077;&#1085;&#1090;&#1099;\&#1042;&#1055;&#1053;\&#1048;&#1090;&#1086;&#1075;&#1080;\&#1048;&#1090;&#1086;&#1075;&#1080;%20&#1042;&#1055;&#1053;-2010\&#1058;&#1054;&#1051;&#1068;&#1071;&#1058;&#1058;&#1048;\&#1040;&#1085;&#1072;&#1083;&#1080;&#1090;&#1080;&#1095;&#1077;&#1089;&#1082;&#1080;&#1077;%20&#1088;&#1072;&#1073;&#1086;&#1090;&#1099;\&#1069;&#1044;%20&#1059;&#1088;&#1086;&#1074;&#1077;&#1085;&#1100;%20&#1086;&#1073;&#1088;&#1072;&#1079;&#1086;&#1074;&#1072;&#1085;&#1080;&#1103;%20&#1085;&#1072;&#1089;&#1077;&#1083;&#1077;&#1085;&#1080;&#1103;%20&#1075;.&#1058;&#1086;&#1083;&#1100;&#1103;&#1090;&#1090;&#1080;%20(&#1042;&#1055;&#1053;-2010)\&#1058;&#1072;&#1073;&#1083;&#1080;&#1094;&#109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2;&#1086;&#1080;%20&#1076;&#1086;&#1082;&#1091;&#1084;&#1077;&#1085;&#1090;&#1099;\&#1042;&#1055;&#1053;\&#1048;&#1090;&#1086;&#1075;&#1080;\&#1048;&#1090;&#1086;&#1075;&#1080;%20&#1042;&#1055;&#1053;-2010\&#1058;&#1054;&#1051;&#1068;&#1071;&#1058;&#1058;&#1048;\&#1040;&#1085;&#1072;&#1083;&#1080;&#1090;&#1080;&#1095;&#1077;&#1089;&#1082;&#1080;&#1077;%20&#1088;&#1072;&#1073;&#1086;&#1090;&#1099;\&#1069;&#1044;%20&#1059;&#1088;&#1086;&#1074;&#1077;&#1085;&#1100;%20&#1086;&#1073;&#1088;&#1072;&#1079;&#1086;&#1074;&#1072;&#1085;&#1080;&#1103;%20&#1085;&#1072;&#1089;&#1077;&#1083;&#1077;&#1085;&#1080;&#1103;%20&#1075;.&#1058;&#1086;&#1083;&#1100;&#1103;&#1090;&#1090;&#1080;%20(&#1042;&#1055;&#1053;-2010)\&#1058;&#1072;&#1073;&#1083;&#1080;&#1094;&#109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2;&#1086;&#1080;%20&#1076;&#1086;&#1082;&#1091;&#1084;&#1077;&#1085;&#1090;&#1099;\&#1042;&#1055;&#1053;\&#1048;&#1090;&#1086;&#1075;&#1080;\&#1048;&#1090;&#1086;&#1075;&#1080;%20&#1042;&#1055;&#1053;-2010\&#1058;&#1054;&#1051;&#1068;&#1071;&#1058;&#1058;&#1048;\&#1040;&#1085;&#1072;&#1083;&#1080;&#1090;&#1080;&#1095;&#1077;&#1089;&#1082;&#1080;&#1077;%20&#1088;&#1072;&#1073;&#1086;&#1090;&#1099;\&#1069;&#1044;%20&#1059;&#1088;&#1086;&#1074;&#1077;&#1085;&#1100;%20&#1086;&#1073;&#1088;&#1072;&#1079;&#1086;&#1074;&#1072;&#1085;&#1080;&#1103;%20&#1085;&#1072;&#1089;&#1077;&#1083;&#1077;&#1085;&#1080;&#1103;%20&#1075;.&#1058;&#1086;&#1083;&#1100;&#1103;&#1090;&#1090;&#1080;%20(&#1042;&#1055;&#1053;-2010)\&#1058;&#1072;&#1073;&#1083;&#1080;&#1094;&#1099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2;&#1086;&#1080;%20&#1076;&#1086;&#1082;&#1091;&#1084;&#1077;&#1085;&#1090;&#1099;\&#1042;&#1055;&#1053;\&#1048;&#1090;&#1086;&#1075;&#1080;\&#1048;&#1090;&#1086;&#1075;&#1080;%20&#1042;&#1055;&#1053;-2010\&#1058;&#1054;&#1051;&#1068;&#1071;&#1058;&#1058;&#1048;\&#1040;&#1085;&#1072;&#1083;&#1080;&#1090;&#1080;&#1095;&#1077;&#1089;&#1082;&#1080;&#1077;%20&#1088;&#1072;&#1073;&#1086;&#1090;&#1099;\&#1069;&#1044;%20&#1059;&#1088;&#1086;&#1074;&#1077;&#1085;&#1100;%20&#1086;&#1073;&#1088;&#1072;&#1079;&#1086;&#1074;&#1072;&#1085;&#1080;&#1103;%20&#1085;&#1072;&#1089;&#1077;&#1083;&#1077;&#1085;&#1080;&#1103;%20&#1075;.&#1058;&#1086;&#1083;&#1100;&#1103;&#1090;&#1090;&#1080;%20(&#1042;&#1055;&#1053;-2010)\&#1058;&#1072;&#1073;&#1083;&#1080;&#1094;&#1099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2;&#1086;&#1080;%20&#1076;&#1086;&#1082;&#1091;&#1084;&#1077;&#1085;&#1090;&#1099;\&#1042;&#1055;&#1053;\&#1048;&#1090;&#1086;&#1075;&#1080;%20&#1042;&#1055;&#1053;\&#1048;&#1090;&#1086;&#1075;&#1080;%20&#1042;&#1055;&#1053;-2010\&#1058;&#1054;&#1051;&#1068;&#1071;&#1058;&#1058;&#1048;\&#1040;&#1085;&#1072;&#1083;&#1080;&#1090;&#1080;&#1095;&#1077;&#1089;&#1082;&#1080;&#1077;%20&#1088;&#1072;&#1073;&#1086;&#1090;&#1099;\&#1069;&#1044;%20&#1059;&#1088;&#1086;&#1074;&#1077;&#1085;&#1100;%20&#1086;&#1073;&#1088;&#1072;&#1079;&#1086;&#1074;&#1072;&#1085;&#1080;&#1103;%20&#1085;&#1072;&#1089;&#1077;&#1083;&#1077;&#1085;&#1080;&#1103;%20&#1075;.&#1058;&#1086;&#1083;&#1100;&#1103;&#1090;&#1090;&#1080;%20(&#1042;&#1055;&#1053;-2010)\&#1058;&#1072;&#1073;&#1083;&#1080;&#1094;&#1099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2;&#1086;&#1080;%20&#1076;&#1086;&#1082;&#1091;&#1084;&#1077;&#1085;&#1090;&#1099;\&#1042;&#1055;&#1053;\&#1048;&#1090;&#1086;&#1075;&#1080;%20&#1042;&#1055;&#1053;\&#1048;&#1090;&#1086;&#1075;&#1080;%20&#1042;&#1055;&#1053;-2010\&#1058;&#1054;&#1051;&#1068;&#1071;&#1058;&#1058;&#1048;\&#1040;&#1085;&#1072;&#1083;&#1080;&#1090;&#1080;&#1095;&#1077;&#1089;&#1082;&#1080;&#1077;%20&#1088;&#1072;&#1073;&#1086;&#1090;&#1099;\&#1041;&#1070;&#1051;&#1051;&#1045;&#1058;&#1045;&#1053;&#1068;\&#1058;&#1072;&#1073;&#1083;&#1080;&#1094;&#1099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2;&#1086;&#1080;%20&#1076;&#1086;&#1082;&#1091;&#1084;&#1077;&#1085;&#1090;&#1099;\&#1042;&#1055;&#1053;\&#1048;&#1090;&#1086;&#1075;&#1080;%20&#1042;&#1055;&#1053;\&#1048;&#1090;&#1086;&#1075;&#1080;%20&#1042;&#1055;&#1053;-2010\&#1058;&#1054;&#1051;&#1068;&#1071;&#1058;&#1058;&#1048;\&#1040;&#1085;&#1072;&#1083;&#1080;&#1090;&#1080;&#1095;&#1077;&#1089;&#1082;&#1080;&#1077;%20&#1088;&#1072;&#1073;&#1086;&#1090;&#1099;\&#1069;&#1044;%20&#1059;&#1088;&#1086;&#1074;&#1077;&#1085;&#1100;%20&#1086;&#1073;&#1088;&#1072;&#1079;&#1086;&#1074;&#1072;&#1085;&#1080;&#1103;%20&#1085;&#1072;&#1089;&#1077;&#1083;&#1077;&#1085;&#1080;&#1103;%20&#1075;.&#1058;&#1086;&#1083;&#1100;&#1103;&#1090;&#1090;&#1080;%20(&#1042;&#1055;&#1053;-2010)\&#1058;&#1072;&#1073;&#1083;&#1080;&#1094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'1979-2010'!$A$6</c:f>
              <c:strCache>
                <c:ptCount val="1"/>
                <c:pt idx="0">
                  <c:v>Профессиональное образование</c:v>
                </c:pt>
              </c:strCache>
            </c:strRef>
          </c:tx>
          <c:spPr>
            <a:ln>
              <a:solidFill>
                <a:schemeClr val="tx2">
                  <a:lumMod val="75000"/>
                </a:schemeClr>
              </a:solidFill>
            </a:ln>
          </c:spPr>
          <c:dLbls>
            <c:showVal val="1"/>
          </c:dLbls>
          <c:cat>
            <c:strRef>
              <c:f>'1979-2010'!$B$4:$E$4</c:f>
              <c:strCache>
                <c:ptCount val="4"/>
                <c:pt idx="0">
                  <c:v>1979</c:v>
                </c:pt>
                <c:pt idx="1">
                  <c:v>1989*</c:v>
                </c:pt>
                <c:pt idx="2">
                  <c:v>2002*</c:v>
                </c:pt>
                <c:pt idx="3">
                  <c:v>2010*</c:v>
                </c:pt>
              </c:strCache>
            </c:strRef>
          </c:cat>
          <c:val>
            <c:numRef>
              <c:f>'1979-2010'!$B$6:$E$6</c:f>
              <c:numCache>
                <c:formatCode>0</c:formatCode>
                <c:ptCount val="4"/>
                <c:pt idx="0">
                  <c:v>284.10000000000002</c:v>
                </c:pt>
                <c:pt idx="1">
                  <c:v>367.2</c:v>
                </c:pt>
                <c:pt idx="2">
                  <c:v>671.7</c:v>
                </c:pt>
                <c:pt idx="3">
                  <c:v>703.5</c:v>
                </c:pt>
              </c:numCache>
            </c:numRef>
          </c:val>
        </c:ser>
        <c:ser>
          <c:idx val="1"/>
          <c:order val="1"/>
          <c:tx>
            <c:strRef>
              <c:f>'1979-2010'!$A$7</c:f>
              <c:strCache>
                <c:ptCount val="1"/>
                <c:pt idx="0">
                  <c:v>Общее образование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>
              <a:solidFill>
                <a:schemeClr val="accent2">
                  <a:lumMod val="50000"/>
                </a:schemeClr>
              </a:solidFill>
            </a:ln>
          </c:spPr>
          <c:dLbls>
            <c:showVal val="1"/>
          </c:dLbls>
          <c:cat>
            <c:strRef>
              <c:f>'1979-2010'!$B$4:$E$4</c:f>
              <c:strCache>
                <c:ptCount val="4"/>
                <c:pt idx="0">
                  <c:v>1979</c:v>
                </c:pt>
                <c:pt idx="1">
                  <c:v>1989*</c:v>
                </c:pt>
                <c:pt idx="2">
                  <c:v>2002*</c:v>
                </c:pt>
                <c:pt idx="3">
                  <c:v>2010*</c:v>
                </c:pt>
              </c:strCache>
            </c:strRef>
          </c:cat>
          <c:val>
            <c:numRef>
              <c:f>'1979-2010'!$B$7:$E$7</c:f>
              <c:numCache>
                <c:formatCode>0</c:formatCode>
                <c:ptCount val="4"/>
                <c:pt idx="0">
                  <c:v>666.5</c:v>
                </c:pt>
                <c:pt idx="1">
                  <c:v>601</c:v>
                </c:pt>
                <c:pt idx="2">
                  <c:v>325</c:v>
                </c:pt>
                <c:pt idx="3">
                  <c:v>293.89999999999969</c:v>
                </c:pt>
              </c:numCache>
            </c:numRef>
          </c:val>
        </c:ser>
        <c:overlap val="100"/>
        <c:axId val="109735936"/>
        <c:axId val="109738624"/>
      </c:barChart>
      <c:catAx>
        <c:axId val="109735936"/>
        <c:scaling>
          <c:orientation val="minMax"/>
        </c:scaling>
        <c:axPos val="b"/>
        <c:tickLblPos val="nextTo"/>
        <c:crossAx val="109738624"/>
        <c:crosses val="autoZero"/>
        <c:auto val="1"/>
        <c:lblAlgn val="ctr"/>
        <c:lblOffset val="100"/>
      </c:catAx>
      <c:valAx>
        <c:axId val="109738624"/>
        <c:scaling>
          <c:orientation val="minMax"/>
        </c:scaling>
        <c:axPos val="l"/>
        <c:majorGridlines/>
        <c:numFmt formatCode="0" sourceLinked="0"/>
        <c:tickLblPos val="nextTo"/>
        <c:crossAx val="109735936"/>
        <c:crosses val="autoZero"/>
        <c:crossBetween val="between"/>
        <c:majorUnit val="100"/>
      </c:valAx>
    </c:plotArea>
    <c:legend>
      <c:legendPos val="b"/>
      <c:spPr>
        <a:noFill/>
        <a:ln>
          <a:noFill/>
        </a:ln>
      </c:spPr>
    </c:legend>
    <c:plotVisOnly val="1"/>
  </c:chart>
  <c:spPr>
    <a:noFill/>
    <a:ln>
      <a:noFill/>
    </a:ln>
  </c:spPr>
  <c:txPr>
    <a:bodyPr/>
    <a:lstStyle/>
    <a:p>
      <a:pPr>
        <a:defRPr sz="1100" baseline="0">
          <a:latin typeface="Tahoma" pitchFamily="34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40"/>
      <c:rotY val="200"/>
      <c:perspective val="30"/>
    </c:view3D>
    <c:plotArea>
      <c:layout>
        <c:manualLayout>
          <c:layoutTarget val="inner"/>
          <c:xMode val="edge"/>
          <c:yMode val="edge"/>
          <c:x val="0.2051282051282052"/>
          <c:y val="6.04686318972037E-3"/>
          <c:w val="0.58055555555555549"/>
          <c:h val="0.89814814814814814"/>
        </c:manualLayout>
      </c:layout>
      <c:pie3DChart>
        <c:varyColors val="1"/>
        <c:ser>
          <c:idx val="0"/>
          <c:order val="0"/>
          <c:explosion val="25"/>
          <c:dLbls>
            <c:dLbl>
              <c:idx val="1"/>
              <c:layout>
                <c:manualLayout>
                  <c:x val="-7.1760717410323915E-2"/>
                  <c:y val="-3.1774123472661252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7.0166565717746834E-2"/>
                  <c:y val="-4.2573011706869966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3.2498233393902683E-2"/>
                  <c:y val="-3.3564852012546048E-3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2.6149303452453195E-2"/>
                  <c:y val="-9.7839912868034354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0.12238693720977185"/>
                  <c:y val="-4.4083775242380434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0.16562521031024968"/>
                  <c:y val="0.10126186607626429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Ч.2_Общ!$B$91:$K$91</c:f>
              <c:strCache>
                <c:ptCount val="10"/>
                <c:pt idx="0">
                  <c:v>Послевузовское</c:v>
                </c:pt>
                <c:pt idx="1">
                  <c:v>Высшее</c:v>
                </c:pt>
                <c:pt idx="2">
                  <c:v>Незаконченное высшее</c:v>
                </c:pt>
                <c:pt idx="3">
                  <c:v>Среднее специальное</c:v>
                </c:pt>
                <c:pt idx="4">
                  <c:v>Начальное профессиональное</c:v>
                </c:pt>
                <c:pt idx="5">
                  <c:v>Среднее (полное)</c:v>
                </c:pt>
                <c:pt idx="6">
                  <c:v>Основное (неполное среднее)</c:v>
                </c:pt>
                <c:pt idx="7">
                  <c:v>Начальное</c:v>
                </c:pt>
                <c:pt idx="8">
                  <c:v>Не имеющие начального общего образования</c:v>
                </c:pt>
                <c:pt idx="9">
                  <c:v>Не указавшие уровень образования</c:v>
                </c:pt>
              </c:strCache>
            </c:strRef>
          </c:cat>
          <c:val>
            <c:numRef>
              <c:f>Ч.2_Общ!$B$92:$K$92</c:f>
              <c:numCache>
                <c:formatCode>General</c:formatCode>
                <c:ptCount val="10"/>
                <c:pt idx="0">
                  <c:v>3136</c:v>
                </c:pt>
                <c:pt idx="1">
                  <c:v>149885</c:v>
                </c:pt>
                <c:pt idx="2">
                  <c:v>29367</c:v>
                </c:pt>
                <c:pt idx="3">
                  <c:v>213489</c:v>
                </c:pt>
                <c:pt idx="4">
                  <c:v>26251</c:v>
                </c:pt>
                <c:pt idx="5">
                  <c:v>112432</c:v>
                </c:pt>
                <c:pt idx="6">
                  <c:v>45141</c:v>
                </c:pt>
                <c:pt idx="7">
                  <c:v>18782</c:v>
                </c:pt>
                <c:pt idx="8">
                  <c:v>1528</c:v>
                </c:pt>
                <c:pt idx="9">
                  <c:v>14273</c:v>
                </c:pt>
              </c:numCache>
            </c:numRef>
          </c:val>
        </c:ser>
      </c:pie3DChart>
    </c:plotArea>
    <c:plotVisOnly val="1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МЖ!$A$5</c:f>
              <c:strCache>
                <c:ptCount val="1"/>
                <c:pt idx="0">
                  <c:v>Всего</c:v>
                </c:pt>
              </c:strCache>
            </c:strRef>
          </c:tx>
          <c:dLbls>
            <c:dLbl>
              <c:idx val="0"/>
              <c:layout>
                <c:manualLayout>
                  <c:x val="-5.6838365896980457E-2"/>
                  <c:y val="-5.5555555555555455E-2"/>
                </c:manualLayout>
              </c:layout>
              <c:showVal val="1"/>
            </c:dLbl>
            <c:dLbl>
              <c:idx val="1"/>
              <c:layout>
                <c:manualLayout>
                  <c:x val="-4.9733570159857979E-2"/>
                  <c:y val="-5.5555555555555462E-2"/>
                </c:manualLayout>
              </c:layout>
              <c:showVal val="1"/>
            </c:dLbl>
            <c:dLbl>
              <c:idx val="2"/>
              <c:layout>
                <c:manualLayout>
                  <c:x val="-4.9733570159857979E-2"/>
                  <c:y val="-5.5555555555555462E-2"/>
                </c:manualLayout>
              </c:layout>
              <c:showVal val="1"/>
            </c:dLbl>
            <c:showVal val="1"/>
          </c:dLbls>
          <c:cat>
            <c:numRef>
              <c:f>МЖ!$B$4:$D$4</c:f>
              <c:numCache>
                <c:formatCode>General</c:formatCode>
                <c:ptCount val="3"/>
                <c:pt idx="0">
                  <c:v>1989</c:v>
                </c:pt>
                <c:pt idx="1">
                  <c:v>2002</c:v>
                </c:pt>
                <c:pt idx="2">
                  <c:v>2010</c:v>
                </c:pt>
              </c:numCache>
            </c:numRef>
          </c:cat>
          <c:val>
            <c:numRef>
              <c:f>МЖ!$B$5:$D$5</c:f>
              <c:numCache>
                <c:formatCode>0.0</c:formatCode>
                <c:ptCount val="3"/>
                <c:pt idx="0">
                  <c:v>989.7</c:v>
                </c:pt>
                <c:pt idx="1">
                  <c:v>998.7</c:v>
                </c:pt>
                <c:pt idx="2">
                  <c:v>998.1</c:v>
                </c:pt>
              </c:numCache>
            </c:numRef>
          </c:val>
        </c:ser>
        <c:ser>
          <c:idx val="1"/>
          <c:order val="1"/>
          <c:tx>
            <c:strRef>
              <c:f>МЖ!$A$6</c:f>
              <c:strCache>
                <c:ptCount val="1"/>
                <c:pt idx="0">
                  <c:v>профессиональное образование</c:v>
                </c:pt>
              </c:strCache>
            </c:strRef>
          </c:tx>
          <c:spPr>
            <a:ln>
              <a:prstDash val="sysDash"/>
            </a:ln>
          </c:spPr>
          <c:dLbls>
            <c:dLbl>
              <c:idx val="0"/>
              <c:layout>
                <c:manualLayout>
                  <c:x val="-9.7098875074008439E-2"/>
                  <c:y val="4.1666666666666664E-2"/>
                </c:manualLayout>
              </c:layout>
              <c:showVal val="1"/>
            </c:dLbl>
            <c:dLbl>
              <c:idx val="1"/>
              <c:layout>
                <c:manualLayout>
                  <c:x val="-4.9733570159857979E-2"/>
                  <c:y val="-5.0925925925925992E-2"/>
                </c:manualLayout>
              </c:layout>
              <c:showVal val="1"/>
            </c:dLbl>
            <c:showVal val="1"/>
          </c:dLbls>
          <c:cat>
            <c:numRef>
              <c:f>МЖ!$B$4:$D$4</c:f>
              <c:numCache>
                <c:formatCode>General</c:formatCode>
                <c:ptCount val="3"/>
                <c:pt idx="0">
                  <c:v>1989</c:v>
                </c:pt>
                <c:pt idx="1">
                  <c:v>2002</c:v>
                </c:pt>
                <c:pt idx="2">
                  <c:v>2010</c:v>
                </c:pt>
              </c:numCache>
            </c:numRef>
          </c:cat>
          <c:val>
            <c:numRef>
              <c:f>МЖ!$B$6:$D$6</c:f>
              <c:numCache>
                <c:formatCode>0.0</c:formatCode>
                <c:ptCount val="3"/>
                <c:pt idx="0">
                  <c:v>330</c:v>
                </c:pt>
                <c:pt idx="1">
                  <c:v>666.9</c:v>
                </c:pt>
                <c:pt idx="2">
                  <c:v>688.1</c:v>
                </c:pt>
              </c:numCache>
            </c:numRef>
          </c:val>
        </c:ser>
        <c:ser>
          <c:idx val="2"/>
          <c:order val="2"/>
          <c:tx>
            <c:strRef>
              <c:f>МЖ!$A$7</c:f>
              <c:strCache>
                <c:ptCount val="1"/>
                <c:pt idx="0">
                  <c:v>общее образование</c:v>
                </c:pt>
              </c:strCache>
            </c:strRef>
          </c:tx>
          <c:spPr>
            <a:ln>
              <a:prstDash val="lgDashDotDot"/>
            </a:ln>
          </c:spPr>
          <c:dLbls>
            <c:dLbl>
              <c:idx val="0"/>
              <c:layout>
                <c:manualLayout>
                  <c:x val="-8.5257548845470876E-2"/>
                  <c:y val="-4.1666666666666664E-2"/>
                </c:manualLayout>
              </c:layout>
              <c:showVal val="1"/>
            </c:dLbl>
            <c:dLbl>
              <c:idx val="1"/>
              <c:layout>
                <c:manualLayout>
                  <c:x val="-4.0260509177027816E-2"/>
                  <c:y val="5.5555555555555462E-2"/>
                </c:manualLayout>
              </c:layout>
              <c:showVal val="1"/>
            </c:dLbl>
            <c:showVal val="1"/>
          </c:dLbls>
          <c:cat>
            <c:numRef>
              <c:f>МЖ!$B$4:$D$4</c:f>
              <c:numCache>
                <c:formatCode>General</c:formatCode>
                <c:ptCount val="3"/>
                <c:pt idx="0">
                  <c:v>1989</c:v>
                </c:pt>
                <c:pt idx="1">
                  <c:v>2002</c:v>
                </c:pt>
                <c:pt idx="2">
                  <c:v>2010</c:v>
                </c:pt>
              </c:numCache>
            </c:numRef>
          </c:cat>
          <c:val>
            <c:numRef>
              <c:f>МЖ!$B$7:$D$7</c:f>
              <c:numCache>
                <c:formatCode>0.0</c:formatCode>
                <c:ptCount val="3"/>
                <c:pt idx="0">
                  <c:v>659.7</c:v>
                </c:pt>
                <c:pt idx="1">
                  <c:v>331.8</c:v>
                </c:pt>
                <c:pt idx="2">
                  <c:v>309.89999999999969</c:v>
                </c:pt>
              </c:numCache>
            </c:numRef>
          </c:val>
        </c:ser>
        <c:marker val="1"/>
        <c:axId val="117779840"/>
        <c:axId val="117802112"/>
      </c:lineChart>
      <c:catAx>
        <c:axId val="117779840"/>
        <c:scaling>
          <c:orientation val="minMax"/>
        </c:scaling>
        <c:axPos val="b"/>
        <c:numFmt formatCode="General" sourceLinked="1"/>
        <c:tickLblPos val="nextTo"/>
        <c:crossAx val="117802112"/>
        <c:crosses val="autoZero"/>
        <c:auto val="1"/>
        <c:lblAlgn val="ctr"/>
        <c:lblOffset val="100"/>
      </c:catAx>
      <c:valAx>
        <c:axId val="117802112"/>
        <c:scaling>
          <c:orientation val="minMax"/>
        </c:scaling>
        <c:axPos val="l"/>
        <c:majorGridlines/>
        <c:numFmt formatCode="0" sourceLinked="0"/>
        <c:tickLblPos val="nextTo"/>
        <c:crossAx val="117779840"/>
        <c:crosses val="autoZero"/>
        <c:crossBetween val="between"/>
      </c:valAx>
    </c:plotArea>
    <c:plotVisOnly val="1"/>
  </c:chart>
  <c:spPr>
    <a:noFill/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МЖ!$A$11</c:f>
              <c:strCache>
                <c:ptCount val="1"/>
                <c:pt idx="0">
                  <c:v>Всего</c:v>
                </c:pt>
              </c:strCache>
            </c:strRef>
          </c:tx>
          <c:dLbls>
            <c:dLbl>
              <c:idx val="0"/>
              <c:layout>
                <c:manualLayout>
                  <c:x val="-4.9910873440285303E-2"/>
                  <c:y val="-5.5555555555555462E-2"/>
                </c:manualLayout>
              </c:layout>
              <c:showVal val="1"/>
            </c:dLbl>
            <c:dLbl>
              <c:idx val="1"/>
              <c:layout>
                <c:manualLayout>
                  <c:x val="-4.9910873440285303E-2"/>
                  <c:y val="-4.6296296296296391E-2"/>
                </c:manualLayout>
              </c:layout>
              <c:showVal val="1"/>
            </c:dLbl>
            <c:dLbl>
              <c:idx val="2"/>
              <c:layout>
                <c:manualLayout>
                  <c:x val="-4.2780748663101602E-2"/>
                  <c:y val="-4.6296296296296391E-2"/>
                </c:manualLayout>
              </c:layout>
              <c:showVal val="1"/>
            </c:dLbl>
            <c:showVal val="1"/>
          </c:dLbls>
          <c:cat>
            <c:numRef>
              <c:f>МЖ!$B$10:$D$10</c:f>
              <c:numCache>
                <c:formatCode>General</c:formatCode>
                <c:ptCount val="3"/>
                <c:pt idx="0">
                  <c:v>1989</c:v>
                </c:pt>
                <c:pt idx="1">
                  <c:v>2002</c:v>
                </c:pt>
                <c:pt idx="2">
                  <c:v>2010</c:v>
                </c:pt>
              </c:numCache>
            </c:numRef>
          </c:cat>
          <c:val>
            <c:numRef>
              <c:f>МЖ!$B$11:$D$11</c:f>
              <c:numCache>
                <c:formatCode>0.0</c:formatCode>
                <c:ptCount val="3"/>
                <c:pt idx="0">
                  <c:v>949</c:v>
                </c:pt>
                <c:pt idx="1">
                  <c:v>995</c:v>
                </c:pt>
                <c:pt idx="2">
                  <c:v>997</c:v>
                </c:pt>
              </c:numCache>
            </c:numRef>
          </c:val>
        </c:ser>
        <c:ser>
          <c:idx val="1"/>
          <c:order val="1"/>
          <c:tx>
            <c:strRef>
              <c:f>МЖ!$A$12</c:f>
              <c:strCache>
                <c:ptCount val="1"/>
                <c:pt idx="0">
                  <c:v>профессиональное образование</c:v>
                </c:pt>
              </c:strCache>
            </c:strRef>
          </c:tx>
          <c:spPr>
            <a:ln>
              <a:prstDash val="sysDash"/>
            </a:ln>
          </c:spPr>
          <c:dLbls>
            <c:dLbl>
              <c:idx val="0"/>
              <c:layout>
                <c:manualLayout>
                  <c:x val="-9.2691622103387022E-2"/>
                  <c:y val="3.7037037037037056E-2"/>
                </c:manualLayout>
              </c:layout>
              <c:showVal val="1"/>
            </c:dLbl>
            <c:dLbl>
              <c:idx val="1"/>
              <c:layout>
                <c:manualLayout>
                  <c:x val="-5.7040998217468802E-2"/>
                  <c:y val="-4.1666666666666664E-2"/>
                </c:manualLayout>
              </c:layout>
              <c:showVal val="1"/>
            </c:dLbl>
            <c:showVal val="1"/>
          </c:dLbls>
          <c:cat>
            <c:numRef>
              <c:f>МЖ!$B$10:$D$10</c:f>
              <c:numCache>
                <c:formatCode>General</c:formatCode>
                <c:ptCount val="3"/>
                <c:pt idx="0">
                  <c:v>1989</c:v>
                </c:pt>
                <c:pt idx="1">
                  <c:v>2002</c:v>
                </c:pt>
                <c:pt idx="2">
                  <c:v>2010</c:v>
                </c:pt>
              </c:numCache>
            </c:numRef>
          </c:cat>
          <c:val>
            <c:numRef>
              <c:f>МЖ!$B$12:$D$12</c:f>
              <c:numCache>
                <c:formatCode>0.0</c:formatCode>
                <c:ptCount val="3"/>
                <c:pt idx="0">
                  <c:v>400.8</c:v>
                </c:pt>
                <c:pt idx="1">
                  <c:v>675.8</c:v>
                </c:pt>
                <c:pt idx="2">
                  <c:v>716.2</c:v>
                </c:pt>
              </c:numCache>
            </c:numRef>
          </c:val>
        </c:ser>
        <c:ser>
          <c:idx val="2"/>
          <c:order val="2"/>
          <c:tx>
            <c:strRef>
              <c:f>МЖ!$A$13</c:f>
              <c:strCache>
                <c:ptCount val="1"/>
                <c:pt idx="0">
                  <c:v>общее образование</c:v>
                </c:pt>
              </c:strCache>
            </c:strRef>
          </c:tx>
          <c:spPr>
            <a:ln>
              <a:prstDash val="lgDashDotDot"/>
            </a:ln>
          </c:spPr>
          <c:dLbls>
            <c:dLbl>
              <c:idx val="0"/>
              <c:layout>
                <c:manualLayout>
                  <c:x val="-9.5068330362448189E-2"/>
                  <c:y val="4.6296296296296389E-3"/>
                </c:manualLayout>
              </c:layout>
              <c:showVal val="1"/>
            </c:dLbl>
            <c:dLbl>
              <c:idx val="1"/>
              <c:layout>
                <c:manualLayout>
                  <c:x val="-7.3677956030897204E-2"/>
                  <c:y val="4.6296296296296391E-2"/>
                </c:manualLayout>
              </c:layout>
              <c:showVal val="1"/>
            </c:dLbl>
            <c:showVal val="1"/>
          </c:dLbls>
          <c:cat>
            <c:numRef>
              <c:f>МЖ!$B$10:$D$10</c:f>
              <c:numCache>
                <c:formatCode>General</c:formatCode>
                <c:ptCount val="3"/>
                <c:pt idx="0">
                  <c:v>1989</c:v>
                </c:pt>
                <c:pt idx="1">
                  <c:v>2002</c:v>
                </c:pt>
                <c:pt idx="2">
                  <c:v>2010</c:v>
                </c:pt>
              </c:numCache>
            </c:numRef>
          </c:cat>
          <c:val>
            <c:numRef>
              <c:f>МЖ!$B$13:$D$13</c:f>
              <c:numCache>
                <c:formatCode>0.0</c:formatCode>
                <c:ptCount val="3"/>
                <c:pt idx="0">
                  <c:v>548.20000000000005</c:v>
                </c:pt>
                <c:pt idx="1">
                  <c:v>319.2</c:v>
                </c:pt>
                <c:pt idx="2">
                  <c:v>280.8</c:v>
                </c:pt>
              </c:numCache>
            </c:numRef>
          </c:val>
        </c:ser>
        <c:marker val="1"/>
        <c:axId val="116526080"/>
        <c:axId val="116548352"/>
      </c:lineChart>
      <c:catAx>
        <c:axId val="116526080"/>
        <c:scaling>
          <c:orientation val="minMax"/>
        </c:scaling>
        <c:axPos val="b"/>
        <c:numFmt formatCode="General" sourceLinked="1"/>
        <c:tickLblPos val="nextTo"/>
        <c:crossAx val="116548352"/>
        <c:crosses val="autoZero"/>
        <c:auto val="1"/>
        <c:lblAlgn val="ctr"/>
        <c:lblOffset val="100"/>
      </c:catAx>
      <c:valAx>
        <c:axId val="116548352"/>
        <c:scaling>
          <c:orientation val="minMax"/>
        </c:scaling>
        <c:axPos val="l"/>
        <c:majorGridlines/>
        <c:numFmt formatCode="0" sourceLinked="0"/>
        <c:tickLblPos val="nextTo"/>
        <c:crossAx val="116526080"/>
        <c:crosses val="autoZero"/>
        <c:crossBetween val="between"/>
      </c:valAx>
    </c:plotArea>
    <c:legend>
      <c:legendPos val="b"/>
      <c:spPr>
        <a:noFill/>
        <a:ln>
          <a:noFill/>
        </a:ln>
      </c:spPr>
    </c:legend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'МЖ-район'!$B$48</c:f>
              <c:strCache>
                <c:ptCount val="1"/>
                <c:pt idx="0">
                  <c:v>2002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ysClr val="windowText" lastClr="000000"/>
              </a:solidFill>
            </a:ln>
          </c:spPr>
          <c:cat>
            <c:strRef>
              <c:f>'МЖ-район'!$A$49:$A$51</c:f>
              <c:strCache>
                <c:ptCount val="3"/>
                <c:pt idx="0">
                  <c:v>Автозаводский</c:v>
                </c:pt>
                <c:pt idx="1">
                  <c:v>Комсомольский</c:v>
                </c:pt>
                <c:pt idx="2">
                  <c:v>Центральный</c:v>
                </c:pt>
              </c:strCache>
            </c:strRef>
          </c:cat>
          <c:val>
            <c:numRef>
              <c:f>'МЖ-район'!$B$49:$B$51</c:f>
              <c:numCache>
                <c:formatCode>0</c:formatCode>
                <c:ptCount val="3"/>
                <c:pt idx="0">
                  <c:v>997.44493062136871</c:v>
                </c:pt>
                <c:pt idx="1">
                  <c:v>996.23761428366277</c:v>
                </c:pt>
                <c:pt idx="2">
                  <c:v>995.11406744532292</c:v>
                </c:pt>
              </c:numCache>
            </c:numRef>
          </c:val>
        </c:ser>
        <c:ser>
          <c:idx val="1"/>
          <c:order val="1"/>
          <c:tx>
            <c:strRef>
              <c:f>'МЖ-район'!$C$48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tx1"/>
              </a:solidFill>
            </a:ln>
          </c:spPr>
          <c:cat>
            <c:strRef>
              <c:f>'МЖ-район'!$A$49:$A$51</c:f>
              <c:strCache>
                <c:ptCount val="3"/>
                <c:pt idx="0">
                  <c:v>Автозаводский</c:v>
                </c:pt>
                <c:pt idx="1">
                  <c:v>Комсомольский</c:v>
                </c:pt>
                <c:pt idx="2">
                  <c:v>Центральный</c:v>
                </c:pt>
              </c:strCache>
            </c:strRef>
          </c:cat>
          <c:val>
            <c:numRef>
              <c:f>'МЖ-район'!$C$49:$C$51</c:f>
              <c:numCache>
                <c:formatCode>0</c:formatCode>
                <c:ptCount val="3"/>
                <c:pt idx="0">
                  <c:v>998.25476598866203</c:v>
                </c:pt>
                <c:pt idx="1">
                  <c:v>997.31533102752303</c:v>
                </c:pt>
                <c:pt idx="2">
                  <c:v>995.32144136181103</c:v>
                </c:pt>
              </c:numCache>
            </c:numRef>
          </c:val>
        </c:ser>
        <c:axId val="116569216"/>
        <c:axId val="116570752"/>
      </c:barChart>
      <c:catAx>
        <c:axId val="116569216"/>
        <c:scaling>
          <c:orientation val="minMax"/>
        </c:scaling>
        <c:axPos val="b"/>
        <c:tickLblPos val="nextTo"/>
        <c:crossAx val="116570752"/>
        <c:crosses val="autoZero"/>
        <c:auto val="1"/>
        <c:lblAlgn val="ctr"/>
        <c:lblOffset val="100"/>
      </c:catAx>
      <c:valAx>
        <c:axId val="116570752"/>
        <c:scaling>
          <c:orientation val="minMax"/>
        </c:scaling>
        <c:axPos val="l"/>
        <c:majorGridlines/>
        <c:numFmt formatCode="0" sourceLinked="1"/>
        <c:tickLblPos val="nextTo"/>
        <c:crossAx val="11656921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7417364964210933"/>
          <c:y val="0.89506355823169159"/>
          <c:w val="0.4473723368848565"/>
          <c:h val="7.8792650918635382E-2"/>
        </c:manualLayout>
      </c:layout>
      <c:spPr>
        <a:noFill/>
        <a:ln>
          <a:noFill/>
        </a:ln>
      </c:spPr>
    </c:legend>
    <c:plotVisOnly val="1"/>
  </c:chart>
  <c:spPr>
    <a:noFill/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Ч.2_Общ!$B$18</c:f>
              <c:strCache>
                <c:ptCount val="1"/>
                <c:pt idx="0">
                  <c:v>мужчины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dLbls>
            <c:dLbl>
              <c:idx val="0"/>
              <c:layout>
                <c:manualLayout>
                  <c:x val="0"/>
                  <c:y val="0.10648148148148166"/>
                </c:manualLayout>
              </c:layout>
              <c:showVal val="1"/>
            </c:dLbl>
            <c:dLbl>
              <c:idx val="1"/>
              <c:layout>
                <c:manualLayout>
                  <c:x val="-2.7777458474624993E-3"/>
                  <c:y val="7.487688316417096E-2"/>
                </c:manualLayout>
              </c:layout>
              <c:showVal val="1"/>
            </c:dLbl>
            <c:txPr>
              <a:bodyPr/>
              <a:lstStyle/>
              <a:p>
                <a:pPr>
                  <a:defRPr baseline="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Val val="1"/>
          </c:dLbls>
          <c:cat>
            <c:strRef>
              <c:f>Ч.2_Общ!$A$19:$A$20</c:f>
              <c:strCache>
                <c:ptCount val="2"/>
                <c:pt idx="0">
                  <c:v>кандидаты наук</c:v>
                </c:pt>
                <c:pt idx="1">
                  <c:v>доктора наук</c:v>
                </c:pt>
              </c:strCache>
            </c:strRef>
          </c:cat>
          <c:val>
            <c:numRef>
              <c:f>Ч.2_Общ!$B$19:$B$20</c:f>
              <c:numCache>
                <c:formatCode>General</c:formatCode>
                <c:ptCount val="2"/>
                <c:pt idx="0">
                  <c:v>704</c:v>
                </c:pt>
                <c:pt idx="1">
                  <c:v>159</c:v>
                </c:pt>
              </c:numCache>
            </c:numRef>
          </c:val>
        </c:ser>
        <c:ser>
          <c:idx val="1"/>
          <c:order val="1"/>
          <c:tx>
            <c:strRef>
              <c:f>Ч.2_Общ!$C$18</c:f>
              <c:strCache>
                <c:ptCount val="1"/>
                <c:pt idx="0">
                  <c:v>женщины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  <a:ln>
              <a:solidFill>
                <a:schemeClr val="accent3">
                  <a:lumMod val="50000"/>
                </a:schemeClr>
              </a:solidFill>
            </a:ln>
          </c:spPr>
          <c:dLbls>
            <c:dLbl>
              <c:idx val="0"/>
              <c:layout>
                <c:manualLayout>
                  <c:x val="6.6919554763683739E-4"/>
                  <c:y val="7.8569629663344104E-2"/>
                </c:manualLayout>
              </c:layout>
              <c:showVal val="1"/>
            </c:dLbl>
            <c:dLbl>
              <c:idx val="1"/>
              <c:layout>
                <c:manualLayout>
                  <c:x val="-7.2992700729918112E-4"/>
                  <c:y val="8.3199672295298358E-2"/>
                </c:manualLayout>
              </c:layout>
              <c:showVal val="1"/>
            </c:dLbl>
            <c:showVal val="1"/>
          </c:dLbls>
          <c:cat>
            <c:strRef>
              <c:f>Ч.2_Общ!$A$19:$A$20</c:f>
              <c:strCache>
                <c:ptCount val="2"/>
                <c:pt idx="0">
                  <c:v>кандидаты наук</c:v>
                </c:pt>
                <c:pt idx="1">
                  <c:v>доктора наук</c:v>
                </c:pt>
              </c:strCache>
            </c:strRef>
          </c:cat>
          <c:val>
            <c:numRef>
              <c:f>Ч.2_Общ!$C$19:$C$20</c:f>
              <c:numCache>
                <c:formatCode>General</c:formatCode>
                <c:ptCount val="2"/>
                <c:pt idx="0">
                  <c:v>722</c:v>
                </c:pt>
                <c:pt idx="1">
                  <c:v>104</c:v>
                </c:pt>
              </c:numCache>
            </c:numRef>
          </c:val>
        </c:ser>
        <c:shape val="box"/>
        <c:axId val="109200896"/>
        <c:axId val="109202432"/>
        <c:axId val="0"/>
      </c:bar3DChart>
      <c:catAx>
        <c:axId val="109200896"/>
        <c:scaling>
          <c:orientation val="minMax"/>
        </c:scaling>
        <c:axPos val="b"/>
        <c:tickLblPos val="nextTo"/>
        <c:crossAx val="109202432"/>
        <c:crosses val="autoZero"/>
        <c:auto val="1"/>
        <c:lblAlgn val="ctr"/>
        <c:lblOffset val="100"/>
      </c:catAx>
      <c:valAx>
        <c:axId val="109202432"/>
        <c:scaling>
          <c:orientation val="minMax"/>
        </c:scaling>
        <c:axPos val="l"/>
        <c:majorGridlines/>
        <c:numFmt formatCode="General" sourceLinked="1"/>
        <c:tickLblPos val="nextTo"/>
        <c:crossAx val="109200896"/>
        <c:crosses val="autoZero"/>
        <c:crossBetween val="between"/>
      </c:valAx>
    </c:plotArea>
    <c:legend>
      <c:legendPos val="b"/>
      <c:spPr>
        <a:noFill/>
        <a:ln>
          <a:noFill/>
        </a:ln>
      </c:spPr>
    </c:legend>
    <c:plotVisOnly val="1"/>
  </c:chart>
  <c:spPr>
    <a:noFill/>
    <a:ln>
      <a:noFill/>
    </a:ln>
  </c:spPr>
  <c:txPr>
    <a:bodyPr/>
    <a:lstStyle/>
    <a:p>
      <a:pPr>
        <a:defRPr sz="1100" baseline="0">
          <a:latin typeface="Tahoma" pitchFamily="34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20"/>
      <c:rotY val="200"/>
      <c:perspective val="30"/>
    </c:view3D>
    <c:plotArea>
      <c:layout>
        <c:manualLayout>
          <c:layoutTarget val="inner"/>
          <c:xMode val="edge"/>
          <c:yMode val="edge"/>
          <c:x val="8.9215132261472901E-2"/>
          <c:y val="3.9107918527727978E-2"/>
          <c:w val="0.82156973547705447"/>
          <c:h val="0.78923055670672748"/>
        </c:manualLayout>
      </c:layout>
      <c:pie3DChart>
        <c:varyColors val="1"/>
        <c:ser>
          <c:idx val="0"/>
          <c:order val="0"/>
          <c:tx>
            <c:strRef>
              <c:f>дошколята!$B$1</c:f>
              <c:strCache>
                <c:ptCount val="1"/>
                <c:pt idx="0">
                  <c:v>3-9 лет</c:v>
                </c:pt>
              </c:strCache>
            </c:strRef>
          </c:tx>
          <c:explosion val="25"/>
          <c:dLbls>
            <c:dLbl>
              <c:idx val="2"/>
              <c:layout>
                <c:manualLayout>
                  <c:x val="0.14005842165904125"/>
                  <c:y val="-6.101211032831429E-3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дошколята!$A$2:$A$5</c:f>
              <c:strCache>
                <c:ptCount val="4"/>
                <c:pt idx="0">
                  <c:v>посещающие общеобразовательные учреждения</c:v>
                </c:pt>
                <c:pt idx="1">
                  <c:v>посещающие дошкольные образовательные учреждения</c:v>
                </c:pt>
                <c:pt idx="2">
                  <c:v>не посещающие общеобразовательные и дошкольные образовательные учреждения </c:v>
                </c:pt>
                <c:pt idx="3">
                  <c:v>не указавшие посещение перечисленных учреждений</c:v>
                </c:pt>
              </c:strCache>
            </c:strRef>
          </c:cat>
          <c:val>
            <c:numRef>
              <c:f>дошколята!$B$2:$B$5</c:f>
              <c:numCache>
                <c:formatCode>General</c:formatCode>
                <c:ptCount val="4"/>
                <c:pt idx="0">
                  <c:v>20024</c:v>
                </c:pt>
                <c:pt idx="1">
                  <c:v>24032</c:v>
                </c:pt>
                <c:pt idx="2">
                  <c:v>3691</c:v>
                </c:pt>
                <c:pt idx="3">
                  <c:v>1288</c:v>
                </c:pt>
              </c:numCache>
            </c:numRef>
          </c:val>
        </c:ser>
      </c:pie3DChart>
    </c:plotArea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758</Words>
  <Characters>4322</Characters>
  <Application>Microsoft Office Word</Application>
  <DocSecurity>0</DocSecurity>
  <Lines>36</Lines>
  <Paragraphs>10</Paragraphs>
  <ScaleCrop>false</ScaleCrop>
  <Company/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2013-02-11T06:55:00Z</dcterms:created>
  <dcterms:modified xsi:type="dcterms:W3CDTF">2013-02-11T07:02:00Z</dcterms:modified>
</cp:coreProperties>
</file>