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54A" w:rsidRDefault="0031054A" w:rsidP="0031054A">
      <w:pPr>
        <w:pStyle w:val="ab"/>
        <w:spacing w:after="0"/>
        <w:ind w:left="284"/>
        <w:jc w:val="center"/>
        <w:rPr>
          <w:b/>
          <w:sz w:val="28"/>
          <w:szCs w:val="28"/>
        </w:rPr>
      </w:pPr>
      <w:r w:rsidRPr="009D4818">
        <w:rPr>
          <w:b/>
          <w:bCs/>
          <w:sz w:val="28"/>
          <w:szCs w:val="28"/>
        </w:rPr>
        <w:t xml:space="preserve">Информация о результатах </w:t>
      </w:r>
      <w:r>
        <w:rPr>
          <w:b/>
          <w:bCs/>
          <w:sz w:val="28"/>
          <w:szCs w:val="28"/>
        </w:rPr>
        <w:t>ревизии</w:t>
      </w:r>
      <w:r w:rsidRPr="009D4818">
        <w:rPr>
          <w:b/>
          <w:bCs/>
          <w:sz w:val="28"/>
          <w:szCs w:val="28"/>
        </w:rPr>
        <w:t xml:space="preserve"> финансово-хозяйственной деятельности </w:t>
      </w:r>
      <w:r w:rsidRPr="0031054A">
        <w:rPr>
          <w:b/>
          <w:sz w:val="28"/>
          <w:szCs w:val="28"/>
        </w:rPr>
        <w:t xml:space="preserve">муниципального казенного учреждения </w:t>
      </w:r>
    </w:p>
    <w:p w:rsidR="0031054A" w:rsidRPr="0031054A" w:rsidRDefault="0031054A" w:rsidP="0031054A">
      <w:pPr>
        <w:pStyle w:val="ab"/>
        <w:spacing w:after="0"/>
        <w:ind w:left="284"/>
        <w:jc w:val="center"/>
        <w:rPr>
          <w:b/>
          <w:bCs/>
          <w:sz w:val="28"/>
          <w:szCs w:val="28"/>
        </w:rPr>
      </w:pPr>
      <w:r w:rsidRPr="0031054A">
        <w:rPr>
          <w:b/>
          <w:sz w:val="28"/>
          <w:szCs w:val="28"/>
        </w:rPr>
        <w:t>«Центр организации дорожного движения городского округа Тольятти» за период с 01.01.2023 по 31.05.2024</w:t>
      </w:r>
    </w:p>
    <w:p w:rsidR="0031054A" w:rsidRDefault="0031054A" w:rsidP="0031054A">
      <w:pPr>
        <w:pStyle w:val="ab"/>
        <w:spacing w:after="0"/>
        <w:ind w:left="284"/>
        <w:jc w:val="center"/>
        <w:rPr>
          <w:b/>
          <w:bCs/>
          <w:sz w:val="28"/>
          <w:szCs w:val="28"/>
        </w:rPr>
      </w:pPr>
    </w:p>
    <w:p w:rsidR="0031054A" w:rsidRDefault="0031054A" w:rsidP="0031054A">
      <w:pPr>
        <w:pStyle w:val="ab"/>
        <w:spacing w:after="0"/>
        <w:ind w:left="284"/>
        <w:jc w:val="center"/>
        <w:rPr>
          <w:b/>
          <w:bCs/>
          <w:sz w:val="28"/>
          <w:szCs w:val="28"/>
        </w:rPr>
      </w:pPr>
      <w:r>
        <w:rPr>
          <w:b/>
          <w:bCs/>
          <w:sz w:val="28"/>
          <w:szCs w:val="28"/>
        </w:rPr>
        <w:t>(Акт от 26.07.2024 № 31-14/12-11-24)</w:t>
      </w:r>
    </w:p>
    <w:p w:rsidR="008D283C" w:rsidRPr="000902EE" w:rsidRDefault="008D283C" w:rsidP="004C6793">
      <w:pPr>
        <w:widowControl w:val="0"/>
        <w:jc w:val="both"/>
        <w:rPr>
          <w:rFonts w:ascii="Times New Roman" w:hAnsi="Times New Roman" w:cs="Times New Roman"/>
          <w:sz w:val="16"/>
          <w:szCs w:val="16"/>
        </w:rPr>
      </w:pPr>
    </w:p>
    <w:p w:rsidR="007243C4" w:rsidRPr="00746CEA" w:rsidRDefault="00746CEA" w:rsidP="00746CEA">
      <w:pPr>
        <w:widowControl w:val="0"/>
        <w:tabs>
          <w:tab w:val="left" w:pos="284"/>
          <w:tab w:val="left" w:pos="720"/>
          <w:tab w:val="left" w:pos="5387"/>
        </w:tabs>
        <w:spacing w:after="0" w:line="240" w:lineRule="auto"/>
        <w:ind w:firstLine="709"/>
        <w:jc w:val="both"/>
        <w:rPr>
          <w:rFonts w:ascii="Times New Roman" w:hAnsi="Times New Roman" w:cs="Times New Roman"/>
          <w:sz w:val="28"/>
          <w:szCs w:val="28"/>
        </w:rPr>
      </w:pPr>
      <w:proofErr w:type="gramStart"/>
      <w:r w:rsidRPr="00746CEA">
        <w:rPr>
          <w:rFonts w:ascii="Times New Roman" w:hAnsi="Times New Roman" w:cs="Times New Roman"/>
          <w:sz w:val="28"/>
          <w:szCs w:val="28"/>
        </w:rPr>
        <w:t xml:space="preserve">Контрольное мероприятие проведено </w:t>
      </w:r>
      <w:r w:rsidRPr="007243C4">
        <w:rPr>
          <w:rFonts w:ascii="Times New Roman" w:hAnsi="Times New Roman" w:cs="Times New Roman"/>
          <w:sz w:val="28"/>
          <w:szCs w:val="28"/>
        </w:rPr>
        <w:t>в соответствии с Федеральным стандартом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17.08.2020 № 1235</w:t>
      </w:r>
      <w:r>
        <w:rPr>
          <w:rFonts w:ascii="Times New Roman" w:hAnsi="Times New Roman" w:cs="Times New Roman"/>
          <w:sz w:val="28"/>
          <w:szCs w:val="28"/>
        </w:rPr>
        <w:t xml:space="preserve">, </w:t>
      </w:r>
      <w:r w:rsidRPr="00746CEA">
        <w:rPr>
          <w:rFonts w:ascii="Times New Roman" w:hAnsi="Times New Roman" w:cs="Times New Roman"/>
          <w:sz w:val="28"/>
          <w:szCs w:val="28"/>
        </w:rPr>
        <w:t>во исполнение п. 15 Плана контрольных мероприятий контрольно-ревизионного отдела администрации городского округа Тольятти на 2024 год, утвержденного приказом контрольно-ревизионного отдела администрации городского округа Тольятти от 25.12.2023 № 54/1.6</w:t>
      </w:r>
      <w:r w:rsidRPr="00FD37A5">
        <w:rPr>
          <w:rFonts w:ascii="Times New Roman" w:hAnsi="Times New Roman" w:cs="Times New Roman"/>
          <w:sz w:val="28"/>
          <w:szCs w:val="28"/>
        </w:rPr>
        <w:t>,</w:t>
      </w:r>
      <w:r w:rsidRPr="007243C4">
        <w:rPr>
          <w:rFonts w:ascii="Times New Roman" w:hAnsi="Times New Roman" w:cs="Times New Roman"/>
          <w:sz w:val="28"/>
          <w:szCs w:val="28"/>
        </w:rPr>
        <w:t xml:space="preserve"> </w:t>
      </w:r>
      <w:r>
        <w:rPr>
          <w:rFonts w:ascii="Times New Roman" w:hAnsi="Times New Roman" w:cs="Times New Roman"/>
          <w:sz w:val="28"/>
          <w:szCs w:val="28"/>
        </w:rPr>
        <w:t>и н</w:t>
      </w:r>
      <w:r w:rsidR="007243C4" w:rsidRPr="00746CEA">
        <w:rPr>
          <w:rFonts w:ascii="Times New Roman" w:hAnsi="Times New Roman" w:cs="Times New Roman"/>
          <w:sz w:val="28"/>
          <w:szCs w:val="28"/>
        </w:rPr>
        <w:t>а</w:t>
      </w:r>
      <w:proofErr w:type="gramEnd"/>
      <w:r w:rsidR="007243C4" w:rsidRPr="00746CEA">
        <w:rPr>
          <w:rFonts w:ascii="Times New Roman" w:hAnsi="Times New Roman" w:cs="Times New Roman"/>
          <w:sz w:val="28"/>
          <w:szCs w:val="28"/>
        </w:rPr>
        <w:t xml:space="preserve"> основании</w:t>
      </w:r>
      <w:r w:rsidR="007243C4" w:rsidRPr="007243C4">
        <w:rPr>
          <w:rFonts w:ascii="Times New Roman" w:hAnsi="Times New Roman" w:cs="Times New Roman"/>
          <w:sz w:val="28"/>
          <w:szCs w:val="28"/>
        </w:rPr>
        <w:t xml:space="preserve"> приказа контрольно-ревизионного отдела администрации городского округа Тольятти от 0</w:t>
      </w:r>
      <w:r w:rsidR="00FD37A5">
        <w:rPr>
          <w:rFonts w:ascii="Times New Roman" w:hAnsi="Times New Roman" w:cs="Times New Roman"/>
          <w:sz w:val="28"/>
          <w:szCs w:val="28"/>
        </w:rPr>
        <w:t>3.06</w:t>
      </w:r>
      <w:r w:rsidR="007243C4" w:rsidRPr="007243C4">
        <w:rPr>
          <w:rFonts w:ascii="Times New Roman" w:hAnsi="Times New Roman" w:cs="Times New Roman"/>
          <w:sz w:val="28"/>
          <w:szCs w:val="28"/>
        </w:rPr>
        <w:t>.202</w:t>
      </w:r>
      <w:r w:rsidR="00FD37A5">
        <w:rPr>
          <w:rFonts w:ascii="Times New Roman" w:hAnsi="Times New Roman" w:cs="Times New Roman"/>
          <w:sz w:val="28"/>
          <w:szCs w:val="28"/>
        </w:rPr>
        <w:t>4 № 27/1.6</w:t>
      </w:r>
      <w:r>
        <w:rPr>
          <w:rFonts w:ascii="Times New Roman" w:hAnsi="Times New Roman" w:cs="Times New Roman"/>
          <w:sz w:val="28"/>
          <w:szCs w:val="28"/>
        </w:rPr>
        <w:t xml:space="preserve"> «</w:t>
      </w:r>
      <w:r w:rsidRPr="00746CEA">
        <w:rPr>
          <w:rFonts w:ascii="Times New Roman" w:hAnsi="Times New Roman" w:cs="Times New Roman"/>
          <w:sz w:val="28"/>
          <w:szCs w:val="28"/>
        </w:rPr>
        <w:t>О проведении ревизии финансово-хозяйственной деятельности муниципального казенного учреждения</w:t>
      </w:r>
      <w:r>
        <w:rPr>
          <w:rFonts w:ascii="Times New Roman" w:hAnsi="Times New Roman" w:cs="Times New Roman"/>
          <w:sz w:val="28"/>
          <w:szCs w:val="28"/>
        </w:rPr>
        <w:t xml:space="preserve"> </w:t>
      </w:r>
      <w:r w:rsidRPr="00746CEA">
        <w:rPr>
          <w:rFonts w:ascii="Times New Roman" w:hAnsi="Times New Roman" w:cs="Times New Roman"/>
          <w:sz w:val="28"/>
          <w:szCs w:val="28"/>
        </w:rPr>
        <w:t>«Центр организации дорожного движения городского округа Тольятти» за период с 01.01.2023 по 31.05.2024</w:t>
      </w:r>
      <w:r>
        <w:rPr>
          <w:rFonts w:ascii="Times New Roman" w:hAnsi="Times New Roman" w:cs="Times New Roman"/>
          <w:sz w:val="28"/>
          <w:szCs w:val="28"/>
        </w:rPr>
        <w:t xml:space="preserve">» </w:t>
      </w:r>
      <w:r w:rsidR="007243C4" w:rsidRPr="00746CEA">
        <w:rPr>
          <w:rFonts w:ascii="Times New Roman" w:hAnsi="Times New Roman" w:cs="Times New Roman"/>
          <w:sz w:val="28"/>
          <w:szCs w:val="28"/>
        </w:rPr>
        <w:t xml:space="preserve">(далее </w:t>
      </w:r>
      <w:proofErr w:type="gramStart"/>
      <w:r w:rsidR="00FD37A5" w:rsidRPr="00746CEA">
        <w:rPr>
          <w:rFonts w:ascii="Times New Roman" w:hAnsi="Times New Roman" w:cs="Times New Roman"/>
          <w:sz w:val="28"/>
          <w:szCs w:val="28"/>
        </w:rPr>
        <w:t>–</w:t>
      </w:r>
      <w:r w:rsidR="00FD37A5">
        <w:rPr>
          <w:rFonts w:ascii="Times New Roman" w:hAnsi="Times New Roman" w:cs="Times New Roman"/>
          <w:sz w:val="28"/>
          <w:szCs w:val="28"/>
        </w:rPr>
        <w:t>М</w:t>
      </w:r>
      <w:proofErr w:type="gramEnd"/>
      <w:r w:rsidR="00FD37A5">
        <w:rPr>
          <w:rFonts w:ascii="Times New Roman" w:hAnsi="Times New Roman" w:cs="Times New Roman"/>
          <w:sz w:val="28"/>
          <w:szCs w:val="28"/>
        </w:rPr>
        <w:t>КУ «ЦОДД ГОТ»</w:t>
      </w:r>
      <w:r w:rsidR="007243C4" w:rsidRPr="007243C4">
        <w:rPr>
          <w:rFonts w:ascii="Times New Roman" w:hAnsi="Times New Roman" w:cs="Times New Roman"/>
          <w:sz w:val="28"/>
          <w:szCs w:val="28"/>
        </w:rPr>
        <w:t xml:space="preserve"> или </w:t>
      </w:r>
      <w:r w:rsidR="00FD37A5">
        <w:rPr>
          <w:rFonts w:ascii="Times New Roman" w:hAnsi="Times New Roman" w:cs="Times New Roman"/>
          <w:sz w:val="28"/>
          <w:szCs w:val="28"/>
        </w:rPr>
        <w:t>Учреждение</w:t>
      </w:r>
      <w:r w:rsidR="007243C4" w:rsidRPr="00746CEA">
        <w:rPr>
          <w:rFonts w:ascii="Times New Roman" w:hAnsi="Times New Roman" w:cs="Times New Roman"/>
          <w:sz w:val="28"/>
          <w:szCs w:val="28"/>
        </w:rPr>
        <w:t xml:space="preserve">). </w:t>
      </w:r>
    </w:p>
    <w:p w:rsidR="007243C4" w:rsidRPr="00FD37A5" w:rsidRDefault="00FD37A5" w:rsidP="004C6793">
      <w:pPr>
        <w:widowControl w:val="0"/>
        <w:tabs>
          <w:tab w:val="left" w:pos="284"/>
          <w:tab w:val="left" w:pos="720"/>
          <w:tab w:val="left" w:pos="5387"/>
        </w:tabs>
        <w:spacing w:after="0" w:line="240" w:lineRule="auto"/>
        <w:ind w:firstLine="709"/>
        <w:jc w:val="both"/>
        <w:rPr>
          <w:rFonts w:ascii="Times New Roman" w:hAnsi="Times New Roman" w:cs="Times New Roman"/>
          <w:sz w:val="28"/>
          <w:szCs w:val="28"/>
        </w:rPr>
      </w:pPr>
      <w:r w:rsidRPr="00FD37A5">
        <w:rPr>
          <w:rFonts w:ascii="Times New Roman" w:hAnsi="Times New Roman" w:cs="Times New Roman"/>
          <w:sz w:val="28"/>
          <w:szCs w:val="28"/>
        </w:rPr>
        <w:t>Учредителем МКУ «ЦОДД ГОТ» и собственником его имущества является муниципальное образование - городской округ Тольятти в лице администрации городского округа Тольятти</w:t>
      </w:r>
      <w:r w:rsidR="007243C4" w:rsidRPr="00FD37A5">
        <w:rPr>
          <w:rFonts w:ascii="Times New Roman" w:hAnsi="Times New Roman" w:cs="Times New Roman"/>
          <w:sz w:val="28"/>
          <w:szCs w:val="28"/>
        </w:rPr>
        <w:t>.</w:t>
      </w:r>
    </w:p>
    <w:p w:rsidR="00616CB9" w:rsidRPr="00616CB9" w:rsidRDefault="00616CB9" w:rsidP="00616CB9">
      <w:pPr>
        <w:spacing w:after="0" w:line="240" w:lineRule="auto"/>
        <w:ind w:firstLine="709"/>
        <w:jc w:val="both"/>
        <w:rPr>
          <w:rFonts w:ascii="Times New Roman" w:hAnsi="Times New Roman" w:cs="Times New Roman"/>
          <w:sz w:val="28"/>
          <w:szCs w:val="28"/>
        </w:rPr>
      </w:pPr>
      <w:r w:rsidRPr="00616CB9">
        <w:rPr>
          <w:rFonts w:ascii="Times New Roman" w:hAnsi="Times New Roman" w:cs="Times New Roman"/>
          <w:sz w:val="28"/>
          <w:szCs w:val="28"/>
        </w:rPr>
        <w:t>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616CB9" w:rsidRPr="00616CB9" w:rsidRDefault="00746CEA" w:rsidP="00746CEA">
      <w:pPr>
        <w:pStyle w:val="aa"/>
        <w:rPr>
          <w:sz w:val="28"/>
          <w:szCs w:val="28"/>
        </w:rPr>
      </w:pPr>
      <w:r>
        <w:rPr>
          <w:sz w:val="28"/>
          <w:szCs w:val="28"/>
        </w:rPr>
        <w:t>П</w:t>
      </w:r>
      <w:r w:rsidR="00616CB9" w:rsidRPr="00616CB9">
        <w:rPr>
          <w:sz w:val="28"/>
          <w:szCs w:val="28"/>
        </w:rPr>
        <w:t>редметом деятельности Учреждения является оказание услуг, выполнение работ в целях обеспечения реализации полномочий по организации и обеспечению безопасности дорожного движения на территории городского округа Тольят</w:t>
      </w:r>
      <w:r>
        <w:rPr>
          <w:sz w:val="28"/>
          <w:szCs w:val="28"/>
        </w:rPr>
        <w:t>ти.</w:t>
      </w:r>
    </w:p>
    <w:p w:rsidR="00616CB9" w:rsidRPr="00616CB9" w:rsidRDefault="00746CEA" w:rsidP="00616CB9">
      <w:pPr>
        <w:pStyle w:val="aa"/>
        <w:tabs>
          <w:tab w:val="left" w:pos="709"/>
          <w:tab w:val="left" w:pos="993"/>
        </w:tabs>
        <w:rPr>
          <w:sz w:val="28"/>
          <w:szCs w:val="28"/>
        </w:rPr>
      </w:pPr>
      <w:proofErr w:type="gramStart"/>
      <w:r>
        <w:rPr>
          <w:sz w:val="28"/>
          <w:szCs w:val="28"/>
        </w:rPr>
        <w:t>Д</w:t>
      </w:r>
      <w:r w:rsidR="00616CB9" w:rsidRPr="00616CB9">
        <w:rPr>
          <w:sz w:val="28"/>
          <w:szCs w:val="28"/>
        </w:rPr>
        <w:t>ля достижения поставленных целей Учреждение осуществляет следующие основные виды деятельности: установка, ремонт, капитальный ремонт и реко</w:t>
      </w:r>
      <w:r>
        <w:rPr>
          <w:sz w:val="28"/>
          <w:szCs w:val="28"/>
        </w:rPr>
        <w:t xml:space="preserve">нструкция светофорных объектов; </w:t>
      </w:r>
      <w:r w:rsidR="00616CB9" w:rsidRPr="00616CB9">
        <w:rPr>
          <w:sz w:val="28"/>
          <w:szCs w:val="28"/>
        </w:rPr>
        <w:t>разработка проектов организации дорожного движения, а также внесение изменений в них в отношении автомобильных дорог местного значения в границах городского округа Тольятти, за исключением проектов организации дорожного движения, подлежащих разработке в составе проектной документации объекта капитального строительства;</w:t>
      </w:r>
      <w:proofErr w:type="gramEnd"/>
      <w:r w:rsidR="00616CB9" w:rsidRPr="00616CB9">
        <w:rPr>
          <w:sz w:val="28"/>
          <w:szCs w:val="28"/>
        </w:rPr>
        <w:t xml:space="preserve"> нанесение дорожной разметки; установка, замена и содержание дорожных знаков;</w:t>
      </w:r>
      <w:r>
        <w:rPr>
          <w:sz w:val="28"/>
          <w:szCs w:val="28"/>
        </w:rPr>
        <w:t xml:space="preserve"> </w:t>
      </w:r>
      <w:r w:rsidR="00616CB9" w:rsidRPr="00616CB9">
        <w:rPr>
          <w:sz w:val="28"/>
          <w:szCs w:val="28"/>
        </w:rPr>
        <w:t>установка и содержание ограждений (пешеходных, барьерных, удерживающих); содержание, ремонт и реконструкция надземных и подземных пешеходных переходов; установка, содержание и реконструкция остановочных павильонов оста</w:t>
      </w:r>
      <w:r>
        <w:rPr>
          <w:sz w:val="28"/>
          <w:szCs w:val="28"/>
        </w:rPr>
        <w:t>новок общественного транспорта и другие.</w:t>
      </w:r>
    </w:p>
    <w:p w:rsidR="00746CEA" w:rsidRDefault="00616CB9" w:rsidP="00746CEA">
      <w:pPr>
        <w:widowControl w:val="0"/>
        <w:tabs>
          <w:tab w:val="left" w:pos="284"/>
          <w:tab w:val="left" w:pos="720"/>
          <w:tab w:val="left" w:pos="5387"/>
        </w:tabs>
        <w:spacing w:after="0" w:line="240" w:lineRule="auto"/>
        <w:ind w:firstLine="709"/>
        <w:jc w:val="both"/>
        <w:rPr>
          <w:rFonts w:ascii="Times New Roman" w:hAnsi="Times New Roman" w:cs="Times New Roman"/>
          <w:sz w:val="28"/>
          <w:szCs w:val="28"/>
        </w:rPr>
      </w:pPr>
      <w:proofErr w:type="gramStart"/>
      <w:r w:rsidRPr="00746CEA">
        <w:rPr>
          <w:rFonts w:ascii="Times New Roman" w:hAnsi="Times New Roman" w:cs="Times New Roman"/>
          <w:sz w:val="28"/>
          <w:szCs w:val="28"/>
        </w:rPr>
        <w:t>Обревизовано средств (расходы Учреждения), всего – 126</w:t>
      </w:r>
      <w:r w:rsidR="00254ADB" w:rsidRPr="00746CEA">
        <w:rPr>
          <w:rFonts w:ascii="Times New Roman" w:hAnsi="Times New Roman" w:cs="Times New Roman"/>
          <w:sz w:val="28"/>
          <w:szCs w:val="28"/>
        </w:rPr>
        <w:t> </w:t>
      </w:r>
      <w:r w:rsidRPr="00746CEA">
        <w:rPr>
          <w:rFonts w:ascii="Times New Roman" w:hAnsi="Times New Roman" w:cs="Times New Roman"/>
          <w:sz w:val="28"/>
          <w:szCs w:val="28"/>
        </w:rPr>
        <w:t>150</w:t>
      </w:r>
      <w:r w:rsidR="00254ADB" w:rsidRPr="00746CEA">
        <w:rPr>
          <w:rFonts w:ascii="Times New Roman" w:hAnsi="Times New Roman" w:cs="Times New Roman"/>
          <w:sz w:val="28"/>
          <w:szCs w:val="28"/>
        </w:rPr>
        <w:t>,8 тыс. руб.</w:t>
      </w:r>
      <w:r w:rsidR="00746CEA">
        <w:rPr>
          <w:rFonts w:ascii="Times New Roman" w:hAnsi="Times New Roman" w:cs="Times New Roman"/>
          <w:sz w:val="28"/>
          <w:szCs w:val="28"/>
        </w:rPr>
        <w:t xml:space="preserve">, из них </w:t>
      </w:r>
      <w:r w:rsidRPr="00746CEA">
        <w:rPr>
          <w:rFonts w:ascii="Times New Roman" w:hAnsi="Times New Roman" w:cs="Times New Roman"/>
          <w:sz w:val="28"/>
          <w:szCs w:val="28"/>
        </w:rPr>
        <w:t xml:space="preserve">за 2023 год – </w:t>
      </w:r>
      <w:r w:rsidR="00254ADB" w:rsidRPr="00746CEA">
        <w:rPr>
          <w:rFonts w:ascii="Times New Roman" w:hAnsi="Times New Roman" w:cs="Times New Roman"/>
          <w:sz w:val="28"/>
          <w:szCs w:val="28"/>
        </w:rPr>
        <w:t>98 977,9 тыс.</w:t>
      </w:r>
      <w:r w:rsidRPr="00746CEA">
        <w:rPr>
          <w:rFonts w:ascii="Times New Roman" w:hAnsi="Times New Roman" w:cs="Times New Roman"/>
          <w:sz w:val="28"/>
          <w:szCs w:val="28"/>
        </w:rPr>
        <w:t xml:space="preserve"> руб</w:t>
      </w:r>
      <w:r w:rsidR="00254ADB" w:rsidRPr="00746CEA">
        <w:rPr>
          <w:rFonts w:ascii="Times New Roman" w:hAnsi="Times New Roman" w:cs="Times New Roman"/>
          <w:sz w:val="28"/>
          <w:szCs w:val="28"/>
        </w:rPr>
        <w:t>.</w:t>
      </w:r>
      <w:r w:rsidRPr="00746CEA">
        <w:rPr>
          <w:rFonts w:ascii="Times New Roman" w:hAnsi="Times New Roman" w:cs="Times New Roman"/>
          <w:sz w:val="28"/>
          <w:szCs w:val="28"/>
        </w:rPr>
        <w:t>, за январь – май 2024 года –  27</w:t>
      </w:r>
      <w:r w:rsidR="00254ADB" w:rsidRPr="00746CEA">
        <w:rPr>
          <w:rFonts w:ascii="Times New Roman" w:hAnsi="Times New Roman" w:cs="Times New Roman"/>
          <w:sz w:val="28"/>
          <w:szCs w:val="28"/>
        </w:rPr>
        <w:t> </w:t>
      </w:r>
      <w:r w:rsidRPr="00746CEA">
        <w:rPr>
          <w:rFonts w:ascii="Times New Roman" w:hAnsi="Times New Roman" w:cs="Times New Roman"/>
          <w:sz w:val="28"/>
          <w:szCs w:val="28"/>
        </w:rPr>
        <w:t>172</w:t>
      </w:r>
      <w:r w:rsidR="00746CEA">
        <w:rPr>
          <w:rFonts w:ascii="Times New Roman" w:hAnsi="Times New Roman" w:cs="Times New Roman"/>
          <w:sz w:val="28"/>
          <w:szCs w:val="28"/>
        </w:rPr>
        <w:t xml:space="preserve">,9 </w:t>
      </w:r>
      <w:r w:rsidR="00746CEA">
        <w:rPr>
          <w:rFonts w:ascii="Times New Roman" w:hAnsi="Times New Roman" w:cs="Times New Roman"/>
          <w:sz w:val="28"/>
          <w:szCs w:val="28"/>
        </w:rPr>
        <w:lastRenderedPageBreak/>
        <w:t>тыс. руб.</w:t>
      </w:r>
      <w:proofErr w:type="gramEnd"/>
    </w:p>
    <w:p w:rsidR="00254ADB" w:rsidRPr="00746CEA" w:rsidRDefault="00746CEA" w:rsidP="00746CEA">
      <w:pPr>
        <w:widowControl w:val="0"/>
        <w:tabs>
          <w:tab w:val="left" w:pos="284"/>
          <w:tab w:val="left" w:pos="720"/>
          <w:tab w:val="left" w:pos="538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00254ADB" w:rsidRPr="00746CEA">
        <w:rPr>
          <w:rFonts w:ascii="Times New Roman" w:hAnsi="Times New Roman" w:cs="Times New Roman"/>
          <w:sz w:val="28"/>
          <w:szCs w:val="28"/>
        </w:rPr>
        <w:t>инансовое обеспечение Учреждения в проверяемом периоде осуществлялось главным распорядителем бюджетных средств - департаментом дорожного хозяйства и транспорта администрации городского округа Тольятти за счет средств бюджета городского округа Тольят</w:t>
      </w:r>
      <w:r w:rsidR="004B5431" w:rsidRPr="00746CEA">
        <w:rPr>
          <w:rFonts w:ascii="Times New Roman" w:hAnsi="Times New Roman" w:cs="Times New Roman"/>
          <w:sz w:val="28"/>
          <w:szCs w:val="28"/>
        </w:rPr>
        <w:t>т</w:t>
      </w:r>
      <w:r w:rsidR="00254ADB" w:rsidRPr="00746CEA">
        <w:rPr>
          <w:rFonts w:ascii="Times New Roman" w:hAnsi="Times New Roman" w:cs="Times New Roman"/>
          <w:sz w:val="28"/>
          <w:szCs w:val="28"/>
        </w:rPr>
        <w:t>и на основании бюджетной сметы.</w:t>
      </w:r>
    </w:p>
    <w:p w:rsidR="00254ADB" w:rsidRDefault="00254ADB" w:rsidP="00254ADB">
      <w:pPr>
        <w:pStyle w:val="aa"/>
        <w:rPr>
          <w:sz w:val="28"/>
          <w:szCs w:val="28"/>
        </w:rPr>
      </w:pPr>
      <w:r w:rsidRPr="00746CEA">
        <w:rPr>
          <w:iCs/>
          <w:sz w:val="28"/>
          <w:szCs w:val="28"/>
        </w:rPr>
        <w:t>Лимиты</w:t>
      </w:r>
      <w:r w:rsidR="00746CEA">
        <w:rPr>
          <w:iCs/>
          <w:sz w:val="28"/>
          <w:szCs w:val="28"/>
        </w:rPr>
        <w:t xml:space="preserve"> </w:t>
      </w:r>
      <w:r w:rsidRPr="00746CEA">
        <w:rPr>
          <w:iCs/>
          <w:sz w:val="28"/>
          <w:szCs w:val="28"/>
        </w:rPr>
        <w:t>бюджетных обязательств</w:t>
      </w:r>
      <w:r w:rsidRPr="00254ADB">
        <w:rPr>
          <w:sz w:val="28"/>
          <w:szCs w:val="28"/>
        </w:rPr>
        <w:t xml:space="preserve"> доведены до Учреждения:</w:t>
      </w:r>
      <w:r w:rsidR="00746CEA">
        <w:rPr>
          <w:sz w:val="28"/>
          <w:szCs w:val="28"/>
        </w:rPr>
        <w:t xml:space="preserve"> </w:t>
      </w:r>
      <w:r w:rsidRPr="00746CEA">
        <w:rPr>
          <w:sz w:val="28"/>
          <w:szCs w:val="28"/>
        </w:rPr>
        <w:t>на 2023 год в</w:t>
      </w:r>
      <w:r w:rsidRPr="00254ADB">
        <w:rPr>
          <w:sz w:val="28"/>
          <w:szCs w:val="28"/>
        </w:rPr>
        <w:t xml:space="preserve"> общей сумме </w:t>
      </w:r>
      <w:r w:rsidRPr="00746CEA">
        <w:rPr>
          <w:sz w:val="28"/>
          <w:szCs w:val="28"/>
        </w:rPr>
        <w:t>100 56</w:t>
      </w:r>
      <w:r w:rsidR="00746CEA" w:rsidRPr="00746CEA">
        <w:rPr>
          <w:sz w:val="28"/>
          <w:szCs w:val="28"/>
        </w:rPr>
        <w:t>1</w:t>
      </w:r>
      <w:r w:rsidRPr="00746CEA">
        <w:rPr>
          <w:sz w:val="28"/>
          <w:szCs w:val="28"/>
        </w:rPr>
        <w:t>,2 тыс. руб.</w:t>
      </w:r>
      <w:r w:rsidRPr="00254ADB">
        <w:rPr>
          <w:sz w:val="28"/>
          <w:szCs w:val="28"/>
        </w:rPr>
        <w:t>;</w:t>
      </w:r>
      <w:r w:rsidR="00746CEA">
        <w:rPr>
          <w:sz w:val="28"/>
          <w:szCs w:val="28"/>
        </w:rPr>
        <w:t xml:space="preserve"> </w:t>
      </w:r>
      <w:r w:rsidRPr="00254ADB">
        <w:rPr>
          <w:sz w:val="28"/>
          <w:szCs w:val="28"/>
        </w:rPr>
        <w:t xml:space="preserve">на 2024 год в общей сумме </w:t>
      </w:r>
      <w:r w:rsidRPr="00746CEA">
        <w:rPr>
          <w:sz w:val="28"/>
          <w:szCs w:val="28"/>
        </w:rPr>
        <w:t>150 583,0 тыс. руб.</w:t>
      </w:r>
      <w:r w:rsidR="00746CEA">
        <w:rPr>
          <w:sz w:val="28"/>
          <w:szCs w:val="28"/>
        </w:rPr>
        <w:t xml:space="preserve"> </w:t>
      </w:r>
    </w:p>
    <w:p w:rsidR="0013359F" w:rsidRPr="0013359F" w:rsidRDefault="0013359F" w:rsidP="002E3E64">
      <w:pPr>
        <w:pStyle w:val="aa"/>
        <w:rPr>
          <w:iCs/>
          <w:sz w:val="28"/>
          <w:szCs w:val="28"/>
        </w:rPr>
      </w:pPr>
      <w:r w:rsidRPr="0013359F">
        <w:rPr>
          <w:iCs/>
          <w:sz w:val="28"/>
          <w:szCs w:val="28"/>
        </w:rPr>
        <w:t>Кассовое исполнение расходов Учреждения в проверяемом периоде произведено в пределах доведенных лимитов бюджетных обязательств, за 2023 год в общей сумме 98 978,0 тыс. руб., за январь – май 2024 года в общей сумме 27 172,9 тыс. руб.</w:t>
      </w:r>
    </w:p>
    <w:p w:rsidR="002E3E64" w:rsidRPr="002E3E64" w:rsidRDefault="002E3E64" w:rsidP="002E3E64">
      <w:pPr>
        <w:pStyle w:val="aa"/>
        <w:rPr>
          <w:sz w:val="28"/>
          <w:szCs w:val="28"/>
        </w:rPr>
      </w:pPr>
      <w:r w:rsidRPr="002E3E64">
        <w:rPr>
          <w:sz w:val="28"/>
          <w:szCs w:val="28"/>
        </w:rPr>
        <w:t>Нецелевого использования бюджетных средств не установлено.</w:t>
      </w:r>
    </w:p>
    <w:p w:rsidR="0013359F" w:rsidRPr="0013359F" w:rsidRDefault="0013359F" w:rsidP="0013359F">
      <w:pPr>
        <w:pStyle w:val="aa"/>
        <w:rPr>
          <w:iCs/>
          <w:sz w:val="28"/>
          <w:szCs w:val="28"/>
        </w:rPr>
      </w:pPr>
      <w:proofErr w:type="gramStart"/>
      <w:r w:rsidRPr="0013359F">
        <w:rPr>
          <w:iCs/>
          <w:sz w:val="28"/>
          <w:szCs w:val="28"/>
        </w:rPr>
        <w:t>Согласно плану-графику закупок товаров, работ, услуг на 2023 финансовый год и на плановый период 2024 и 2025 годов (далее - План-график закупок на 2023 год), общий объем планируемых платежей предусмотрен в сумме 127</w:t>
      </w:r>
      <w:r>
        <w:rPr>
          <w:iCs/>
          <w:sz w:val="28"/>
          <w:szCs w:val="28"/>
        </w:rPr>
        <w:t> </w:t>
      </w:r>
      <w:r w:rsidRPr="0013359F">
        <w:rPr>
          <w:iCs/>
          <w:sz w:val="28"/>
          <w:szCs w:val="28"/>
        </w:rPr>
        <w:t>324</w:t>
      </w:r>
      <w:r>
        <w:rPr>
          <w:iCs/>
          <w:sz w:val="28"/>
          <w:szCs w:val="28"/>
        </w:rPr>
        <w:t>,4 тыс.</w:t>
      </w:r>
      <w:r w:rsidRPr="0013359F">
        <w:rPr>
          <w:iCs/>
          <w:sz w:val="28"/>
          <w:szCs w:val="28"/>
        </w:rPr>
        <w:t xml:space="preserve"> руб</w:t>
      </w:r>
      <w:r>
        <w:rPr>
          <w:iCs/>
          <w:sz w:val="28"/>
          <w:szCs w:val="28"/>
        </w:rPr>
        <w:t>., с</w:t>
      </w:r>
      <w:r w:rsidRPr="0013359F">
        <w:rPr>
          <w:iCs/>
          <w:sz w:val="28"/>
          <w:szCs w:val="28"/>
        </w:rPr>
        <w:t>огласно плану-графику закупок товаров, работ, услуг на 2024 финансовый год и на плановый период 2025 и 2026 годов (далее - План-график закупок на 2024 год), общий</w:t>
      </w:r>
      <w:proofErr w:type="gramEnd"/>
      <w:r w:rsidRPr="0013359F">
        <w:rPr>
          <w:iCs/>
          <w:sz w:val="28"/>
          <w:szCs w:val="28"/>
        </w:rPr>
        <w:t xml:space="preserve"> объем планируемых платежей предусмотрен в сумме 151</w:t>
      </w:r>
      <w:r>
        <w:rPr>
          <w:iCs/>
          <w:sz w:val="28"/>
          <w:szCs w:val="28"/>
        </w:rPr>
        <w:t> </w:t>
      </w:r>
      <w:r w:rsidRPr="0013359F">
        <w:rPr>
          <w:iCs/>
          <w:sz w:val="28"/>
          <w:szCs w:val="28"/>
        </w:rPr>
        <w:t>833</w:t>
      </w:r>
      <w:r>
        <w:rPr>
          <w:iCs/>
          <w:sz w:val="28"/>
          <w:szCs w:val="28"/>
        </w:rPr>
        <w:t>,</w:t>
      </w:r>
      <w:r w:rsidRPr="0013359F">
        <w:rPr>
          <w:iCs/>
          <w:sz w:val="28"/>
          <w:szCs w:val="28"/>
        </w:rPr>
        <w:t>3</w:t>
      </w:r>
      <w:r>
        <w:rPr>
          <w:iCs/>
          <w:sz w:val="28"/>
          <w:szCs w:val="28"/>
        </w:rPr>
        <w:t xml:space="preserve"> тыс.</w:t>
      </w:r>
      <w:r w:rsidRPr="0013359F">
        <w:rPr>
          <w:iCs/>
          <w:sz w:val="28"/>
          <w:szCs w:val="28"/>
        </w:rPr>
        <w:t xml:space="preserve"> руб</w:t>
      </w:r>
      <w:r>
        <w:rPr>
          <w:iCs/>
          <w:sz w:val="28"/>
          <w:szCs w:val="28"/>
        </w:rPr>
        <w:t xml:space="preserve">. </w:t>
      </w:r>
    </w:p>
    <w:p w:rsidR="002E3E64" w:rsidRPr="0013359F" w:rsidRDefault="002E3E64" w:rsidP="0013359F">
      <w:pPr>
        <w:spacing w:after="0" w:line="240" w:lineRule="auto"/>
        <w:ind w:firstLine="709"/>
        <w:jc w:val="both"/>
        <w:rPr>
          <w:rFonts w:ascii="Times New Roman" w:hAnsi="Times New Roman" w:cs="Times New Roman"/>
          <w:sz w:val="28"/>
          <w:szCs w:val="28"/>
        </w:rPr>
      </w:pPr>
      <w:r w:rsidRPr="0013359F">
        <w:rPr>
          <w:rFonts w:ascii="Times New Roman" w:hAnsi="Times New Roman" w:cs="Times New Roman"/>
          <w:sz w:val="28"/>
          <w:szCs w:val="28"/>
        </w:rPr>
        <w:t>В рамках Плана-графика закупок на 2023 год Учреждением заключено 72</w:t>
      </w:r>
      <w:r w:rsidR="0013359F">
        <w:rPr>
          <w:rFonts w:ascii="Times New Roman" w:hAnsi="Times New Roman" w:cs="Times New Roman"/>
          <w:sz w:val="28"/>
          <w:szCs w:val="28"/>
        </w:rPr>
        <w:t xml:space="preserve"> </w:t>
      </w:r>
      <w:r w:rsidRPr="0013359F">
        <w:rPr>
          <w:rFonts w:ascii="Times New Roman" w:hAnsi="Times New Roman" w:cs="Times New Roman"/>
          <w:sz w:val="28"/>
          <w:szCs w:val="28"/>
        </w:rPr>
        <w:t>договора (контракта) на общую сумму 100 016,4 тыс.</w:t>
      </w:r>
      <w:r w:rsidR="0013359F">
        <w:rPr>
          <w:rFonts w:ascii="Times New Roman" w:hAnsi="Times New Roman" w:cs="Times New Roman"/>
          <w:sz w:val="28"/>
          <w:szCs w:val="28"/>
        </w:rPr>
        <w:t xml:space="preserve"> </w:t>
      </w:r>
      <w:r w:rsidRPr="0013359F">
        <w:rPr>
          <w:rFonts w:ascii="Times New Roman" w:hAnsi="Times New Roman" w:cs="Times New Roman"/>
          <w:sz w:val="28"/>
          <w:szCs w:val="28"/>
        </w:rPr>
        <w:t>руб.</w:t>
      </w:r>
      <w:r w:rsidR="0013359F">
        <w:rPr>
          <w:rFonts w:ascii="Times New Roman" w:hAnsi="Times New Roman" w:cs="Times New Roman"/>
          <w:sz w:val="28"/>
          <w:szCs w:val="28"/>
        </w:rPr>
        <w:t>, в</w:t>
      </w:r>
      <w:r w:rsidRPr="0013359F">
        <w:rPr>
          <w:rFonts w:ascii="Times New Roman" w:hAnsi="Times New Roman" w:cs="Times New Roman"/>
          <w:sz w:val="28"/>
          <w:szCs w:val="28"/>
        </w:rPr>
        <w:t xml:space="preserve"> рамках Плана-графика закупок на 2024 го</w:t>
      </w:r>
      <w:bookmarkStart w:id="0" w:name="_GoBack"/>
      <w:bookmarkEnd w:id="0"/>
      <w:r w:rsidRPr="0013359F">
        <w:rPr>
          <w:rFonts w:ascii="Times New Roman" w:hAnsi="Times New Roman" w:cs="Times New Roman"/>
          <w:sz w:val="28"/>
          <w:szCs w:val="28"/>
        </w:rPr>
        <w:t>д Учреждением заключено 35 договоров (контрактов) на общую сумму 35</w:t>
      </w:r>
      <w:r w:rsidR="008978C9" w:rsidRPr="0013359F">
        <w:rPr>
          <w:rFonts w:ascii="Times New Roman" w:hAnsi="Times New Roman" w:cs="Times New Roman"/>
          <w:sz w:val="28"/>
          <w:szCs w:val="28"/>
        </w:rPr>
        <w:t> </w:t>
      </w:r>
      <w:r w:rsidRPr="0013359F">
        <w:rPr>
          <w:rFonts w:ascii="Times New Roman" w:hAnsi="Times New Roman" w:cs="Times New Roman"/>
          <w:sz w:val="28"/>
          <w:szCs w:val="28"/>
        </w:rPr>
        <w:t>293</w:t>
      </w:r>
      <w:r w:rsidR="008978C9" w:rsidRPr="0013359F">
        <w:rPr>
          <w:rFonts w:ascii="Times New Roman" w:hAnsi="Times New Roman" w:cs="Times New Roman"/>
          <w:sz w:val="28"/>
          <w:szCs w:val="28"/>
        </w:rPr>
        <w:t>,9 тыс. руб.</w:t>
      </w:r>
    </w:p>
    <w:p w:rsidR="00B3222A" w:rsidRPr="008E48BF" w:rsidRDefault="00B3222A" w:rsidP="00B3222A">
      <w:pPr>
        <w:pStyle w:val="2"/>
        <w:tabs>
          <w:tab w:val="left" w:pos="708"/>
        </w:tabs>
        <w:snapToGrid w:val="0"/>
        <w:spacing w:after="0" w:line="240" w:lineRule="auto"/>
        <w:ind w:right="-2" w:firstLine="709"/>
        <w:rPr>
          <w:sz w:val="28"/>
          <w:szCs w:val="28"/>
        </w:rPr>
      </w:pPr>
      <w:r w:rsidRPr="00B3222A">
        <w:rPr>
          <w:sz w:val="28"/>
          <w:szCs w:val="28"/>
        </w:rPr>
        <w:t xml:space="preserve">Фактические расходы на оплату труда Учреждения составили за 2023 год в сумме </w:t>
      </w:r>
      <w:r w:rsidRPr="008E48BF">
        <w:rPr>
          <w:sz w:val="28"/>
          <w:szCs w:val="28"/>
        </w:rPr>
        <w:t>14 804,</w:t>
      </w:r>
      <w:r w:rsidR="008E48BF">
        <w:rPr>
          <w:sz w:val="28"/>
          <w:szCs w:val="28"/>
        </w:rPr>
        <w:t>8</w:t>
      </w:r>
      <w:r w:rsidRPr="008E48BF">
        <w:rPr>
          <w:sz w:val="28"/>
          <w:szCs w:val="28"/>
        </w:rPr>
        <w:t xml:space="preserve"> тыс</w:t>
      </w:r>
      <w:proofErr w:type="gramStart"/>
      <w:r w:rsidRPr="008E48BF">
        <w:rPr>
          <w:sz w:val="28"/>
          <w:szCs w:val="28"/>
        </w:rPr>
        <w:t>.р</w:t>
      </w:r>
      <w:proofErr w:type="gramEnd"/>
      <w:r w:rsidRPr="008E48BF">
        <w:rPr>
          <w:sz w:val="28"/>
          <w:szCs w:val="28"/>
        </w:rPr>
        <w:t>уб.,</w:t>
      </w:r>
      <w:r w:rsidRPr="00B3222A">
        <w:rPr>
          <w:sz w:val="28"/>
          <w:szCs w:val="28"/>
        </w:rPr>
        <w:t xml:space="preserve"> </w:t>
      </w:r>
      <w:r w:rsidRPr="00B3222A">
        <w:rPr>
          <w:iCs w:val="0"/>
          <w:sz w:val="28"/>
          <w:szCs w:val="28"/>
        </w:rPr>
        <w:t xml:space="preserve">за </w:t>
      </w:r>
      <w:r w:rsidRPr="00B3222A">
        <w:rPr>
          <w:sz w:val="28"/>
          <w:szCs w:val="28"/>
        </w:rPr>
        <w:t xml:space="preserve">период с января по май 2024 года - </w:t>
      </w:r>
      <w:r w:rsidRPr="008E48BF">
        <w:rPr>
          <w:sz w:val="28"/>
          <w:szCs w:val="28"/>
        </w:rPr>
        <w:t>7 324,8 тыс. руб.</w:t>
      </w:r>
    </w:p>
    <w:p w:rsidR="00EF7411" w:rsidRPr="008E48BF" w:rsidRDefault="00B3222A" w:rsidP="00B3222A">
      <w:pPr>
        <w:pStyle w:val="2"/>
        <w:tabs>
          <w:tab w:val="left" w:pos="708"/>
        </w:tabs>
        <w:snapToGrid w:val="0"/>
        <w:spacing w:after="0" w:line="240" w:lineRule="auto"/>
        <w:ind w:firstLine="709"/>
        <w:rPr>
          <w:sz w:val="28"/>
          <w:szCs w:val="28"/>
        </w:rPr>
      </w:pPr>
      <w:r w:rsidRPr="00B3222A">
        <w:rPr>
          <w:sz w:val="28"/>
          <w:szCs w:val="28"/>
        </w:rPr>
        <w:t>Среднесписочная численность</w:t>
      </w:r>
      <w:r w:rsidR="008E48BF">
        <w:rPr>
          <w:sz w:val="28"/>
          <w:szCs w:val="28"/>
        </w:rPr>
        <w:t xml:space="preserve"> </w:t>
      </w:r>
      <w:r w:rsidRPr="00B3222A">
        <w:rPr>
          <w:sz w:val="28"/>
          <w:szCs w:val="28"/>
        </w:rPr>
        <w:t xml:space="preserve">работников составила за 2023 год </w:t>
      </w:r>
      <w:r w:rsidR="008E48BF">
        <w:rPr>
          <w:sz w:val="28"/>
          <w:szCs w:val="28"/>
        </w:rPr>
        <w:t>-</w:t>
      </w:r>
      <w:r w:rsidRPr="00B3222A">
        <w:rPr>
          <w:sz w:val="28"/>
          <w:szCs w:val="28"/>
        </w:rPr>
        <w:t xml:space="preserve"> 34,13 ед., за период с января по май 2024 года </w:t>
      </w:r>
      <w:r w:rsidR="008E48BF">
        <w:rPr>
          <w:sz w:val="28"/>
          <w:szCs w:val="28"/>
        </w:rPr>
        <w:t>-</w:t>
      </w:r>
      <w:r w:rsidRPr="00B3222A">
        <w:rPr>
          <w:sz w:val="28"/>
          <w:szCs w:val="28"/>
        </w:rPr>
        <w:t xml:space="preserve"> 30,50 ед.; среднемесячная заработная плата работников сложилась за 2023 год в </w:t>
      </w:r>
      <w:r w:rsidRPr="008E48BF">
        <w:rPr>
          <w:sz w:val="28"/>
          <w:szCs w:val="28"/>
        </w:rPr>
        <w:t>размере 36,1 тыс.</w:t>
      </w:r>
      <w:r w:rsidR="008E48BF">
        <w:rPr>
          <w:sz w:val="28"/>
          <w:szCs w:val="28"/>
        </w:rPr>
        <w:t xml:space="preserve"> </w:t>
      </w:r>
      <w:r w:rsidRPr="008E48BF">
        <w:rPr>
          <w:sz w:val="28"/>
          <w:szCs w:val="28"/>
        </w:rPr>
        <w:t xml:space="preserve">руб., за период с января по май 2024 года </w:t>
      </w:r>
      <w:r w:rsidR="008E48BF">
        <w:rPr>
          <w:sz w:val="28"/>
          <w:szCs w:val="28"/>
        </w:rPr>
        <w:t>-</w:t>
      </w:r>
      <w:r w:rsidRPr="008E48BF">
        <w:rPr>
          <w:sz w:val="28"/>
          <w:szCs w:val="28"/>
        </w:rPr>
        <w:t xml:space="preserve"> 48,0 тыс.</w:t>
      </w:r>
      <w:r w:rsidR="008E48BF">
        <w:rPr>
          <w:sz w:val="28"/>
          <w:szCs w:val="28"/>
        </w:rPr>
        <w:t xml:space="preserve"> </w:t>
      </w:r>
      <w:r w:rsidRPr="008E48BF">
        <w:rPr>
          <w:sz w:val="28"/>
          <w:szCs w:val="28"/>
        </w:rPr>
        <w:t>руб.</w:t>
      </w:r>
    </w:p>
    <w:p w:rsidR="00066AAE" w:rsidRPr="00066AAE" w:rsidRDefault="00066AAE" w:rsidP="00066AAE">
      <w:pPr>
        <w:pStyle w:val="2"/>
        <w:tabs>
          <w:tab w:val="left" w:pos="708"/>
        </w:tabs>
        <w:snapToGrid w:val="0"/>
        <w:spacing w:after="0" w:line="240" w:lineRule="auto"/>
        <w:ind w:firstLine="709"/>
        <w:rPr>
          <w:sz w:val="28"/>
          <w:szCs w:val="28"/>
        </w:rPr>
      </w:pPr>
      <w:r w:rsidRPr="00066AAE">
        <w:rPr>
          <w:sz w:val="28"/>
          <w:szCs w:val="28"/>
        </w:rPr>
        <w:t>Дебиторская задолженность по состоянию на 01.06.2024 составила в общей сумме 423</w:t>
      </w:r>
      <w:r>
        <w:rPr>
          <w:sz w:val="28"/>
          <w:szCs w:val="28"/>
        </w:rPr>
        <w:t>,4 тыс.</w:t>
      </w:r>
      <w:r w:rsidRPr="00066AAE">
        <w:rPr>
          <w:sz w:val="28"/>
          <w:szCs w:val="28"/>
        </w:rPr>
        <w:t xml:space="preserve"> руб. </w:t>
      </w:r>
      <w:r w:rsidR="00AE6384" w:rsidRPr="00066AAE">
        <w:rPr>
          <w:sz w:val="28"/>
          <w:szCs w:val="28"/>
        </w:rPr>
        <w:t>Сомнительной и безнадежной к взысканию дебиторской задолженности, подлежащей списанию с баланса, не установлено.</w:t>
      </w:r>
    </w:p>
    <w:p w:rsidR="00066AAE" w:rsidRPr="00EB4B8C" w:rsidRDefault="00066AAE" w:rsidP="00066AAE">
      <w:pPr>
        <w:pStyle w:val="2"/>
        <w:tabs>
          <w:tab w:val="left" w:pos="708"/>
        </w:tabs>
        <w:snapToGrid w:val="0"/>
        <w:spacing w:after="0" w:line="240" w:lineRule="auto"/>
        <w:ind w:firstLine="709"/>
        <w:rPr>
          <w:sz w:val="28"/>
          <w:szCs w:val="28"/>
        </w:rPr>
      </w:pPr>
      <w:r w:rsidRPr="00066AAE">
        <w:rPr>
          <w:sz w:val="28"/>
          <w:szCs w:val="28"/>
        </w:rPr>
        <w:t xml:space="preserve">Кредиторская задолженность по состоянию на 01.06.2024 </w:t>
      </w:r>
      <w:r w:rsidR="00894665">
        <w:rPr>
          <w:sz w:val="28"/>
          <w:szCs w:val="28"/>
        </w:rPr>
        <w:t>сложилась</w:t>
      </w:r>
      <w:r w:rsidRPr="00066AAE">
        <w:rPr>
          <w:sz w:val="28"/>
          <w:szCs w:val="28"/>
        </w:rPr>
        <w:t xml:space="preserve"> в общей сумме 1</w:t>
      </w:r>
      <w:r w:rsidR="00AE6384">
        <w:rPr>
          <w:sz w:val="28"/>
          <w:szCs w:val="28"/>
        </w:rPr>
        <w:t> </w:t>
      </w:r>
      <w:r w:rsidRPr="00066AAE">
        <w:rPr>
          <w:sz w:val="28"/>
          <w:szCs w:val="28"/>
        </w:rPr>
        <w:t>602</w:t>
      </w:r>
      <w:r w:rsidR="00AE6384">
        <w:rPr>
          <w:sz w:val="28"/>
          <w:szCs w:val="28"/>
        </w:rPr>
        <w:t>,</w:t>
      </w:r>
      <w:r w:rsidRPr="00066AAE">
        <w:rPr>
          <w:sz w:val="28"/>
          <w:szCs w:val="28"/>
        </w:rPr>
        <w:t>7</w:t>
      </w:r>
      <w:r w:rsidR="00AE6384">
        <w:rPr>
          <w:sz w:val="28"/>
          <w:szCs w:val="28"/>
        </w:rPr>
        <w:t xml:space="preserve"> тыс.</w:t>
      </w:r>
      <w:r w:rsidRPr="00066AAE">
        <w:rPr>
          <w:sz w:val="28"/>
          <w:szCs w:val="28"/>
        </w:rPr>
        <w:t xml:space="preserve"> руб</w:t>
      </w:r>
      <w:r w:rsidR="00AE6384">
        <w:rPr>
          <w:sz w:val="28"/>
          <w:szCs w:val="28"/>
        </w:rPr>
        <w:t>.</w:t>
      </w:r>
      <w:r w:rsidRPr="00066AAE">
        <w:rPr>
          <w:sz w:val="28"/>
          <w:szCs w:val="28"/>
        </w:rPr>
        <w:t xml:space="preserve"> </w:t>
      </w:r>
      <w:r w:rsidR="00EB4B8C" w:rsidRPr="00066AAE">
        <w:rPr>
          <w:sz w:val="28"/>
          <w:szCs w:val="28"/>
        </w:rPr>
        <w:t>Просроченной кредиторской задолженности по состоянию на 01.06.2024 не установлено.</w:t>
      </w:r>
    </w:p>
    <w:p w:rsidR="008E48BF" w:rsidRPr="00E95F8D" w:rsidRDefault="008E48BF" w:rsidP="00EF7411">
      <w:pPr>
        <w:pStyle w:val="2"/>
        <w:tabs>
          <w:tab w:val="left" w:pos="708"/>
        </w:tabs>
        <w:snapToGrid w:val="0"/>
        <w:spacing w:after="0" w:line="240" w:lineRule="auto"/>
        <w:ind w:firstLine="709"/>
        <w:rPr>
          <w:sz w:val="16"/>
          <w:szCs w:val="16"/>
        </w:rPr>
      </w:pPr>
    </w:p>
    <w:p w:rsidR="00E95F8D" w:rsidRPr="00FF402F" w:rsidRDefault="00E95F8D" w:rsidP="00E95F8D">
      <w:pPr>
        <w:spacing w:after="0" w:line="240" w:lineRule="auto"/>
        <w:ind w:firstLine="709"/>
        <w:jc w:val="both"/>
        <w:rPr>
          <w:rFonts w:ascii="Times New Roman" w:hAnsi="Times New Roman"/>
          <w:sz w:val="28"/>
          <w:szCs w:val="28"/>
        </w:rPr>
      </w:pPr>
      <w:r w:rsidRPr="000E163E">
        <w:rPr>
          <w:rFonts w:ascii="Times New Roman" w:hAnsi="Times New Roman"/>
          <w:sz w:val="28"/>
          <w:szCs w:val="28"/>
        </w:rPr>
        <w:t>Учреждению выдано представление для устранения нарушений и принятия мер для осуществления финансово-хозяйственной деятельности в соответствии с действующим законодательством.</w:t>
      </w:r>
      <w:r w:rsidRPr="00FF402F">
        <w:rPr>
          <w:rFonts w:ascii="Times New Roman" w:hAnsi="Times New Roman"/>
          <w:sz w:val="28"/>
          <w:szCs w:val="28"/>
        </w:rPr>
        <w:t xml:space="preserve"> </w:t>
      </w:r>
    </w:p>
    <w:p w:rsidR="0056424E" w:rsidRPr="002E3E64" w:rsidRDefault="0056424E" w:rsidP="002E3E64">
      <w:pPr>
        <w:pStyle w:val="aa"/>
        <w:rPr>
          <w:sz w:val="28"/>
          <w:szCs w:val="28"/>
        </w:rPr>
      </w:pPr>
    </w:p>
    <w:p w:rsidR="007243C4" w:rsidRPr="007243C4" w:rsidRDefault="007243C4" w:rsidP="004C6793">
      <w:pPr>
        <w:widowControl w:val="0"/>
        <w:spacing w:after="0" w:line="240" w:lineRule="auto"/>
        <w:ind w:firstLine="709"/>
        <w:jc w:val="both"/>
        <w:rPr>
          <w:rFonts w:ascii="Times New Roman" w:hAnsi="Times New Roman" w:cs="Times New Roman"/>
          <w:sz w:val="28"/>
          <w:szCs w:val="28"/>
        </w:rPr>
      </w:pPr>
    </w:p>
    <w:tbl>
      <w:tblPr>
        <w:tblW w:w="0" w:type="auto"/>
        <w:tblLook w:val="0000"/>
      </w:tblPr>
      <w:tblGrid>
        <w:gridCol w:w="4608"/>
        <w:gridCol w:w="4962"/>
      </w:tblGrid>
      <w:tr w:rsidR="008D283C" w:rsidRPr="008D283C" w:rsidTr="008D283C">
        <w:tc>
          <w:tcPr>
            <w:tcW w:w="4608" w:type="dxa"/>
          </w:tcPr>
          <w:p w:rsidR="008D283C" w:rsidRPr="008D283C" w:rsidRDefault="008D283C" w:rsidP="004C6793">
            <w:pPr>
              <w:widowControl w:val="0"/>
              <w:spacing w:after="0"/>
              <w:rPr>
                <w:rFonts w:ascii="Times New Roman" w:hAnsi="Times New Roman" w:cs="Times New Roman"/>
                <w:sz w:val="28"/>
              </w:rPr>
            </w:pPr>
            <w:r w:rsidRPr="008D283C">
              <w:rPr>
                <w:rFonts w:ascii="Times New Roman" w:hAnsi="Times New Roman" w:cs="Times New Roman"/>
                <w:sz w:val="28"/>
              </w:rPr>
              <w:t xml:space="preserve">Начальник контрольно - ревизионного отдела </w:t>
            </w:r>
          </w:p>
        </w:tc>
        <w:tc>
          <w:tcPr>
            <w:tcW w:w="4962" w:type="dxa"/>
            <w:vAlign w:val="bottom"/>
          </w:tcPr>
          <w:p w:rsidR="008D283C" w:rsidRPr="008D283C" w:rsidRDefault="008D283C" w:rsidP="004C6793">
            <w:pPr>
              <w:widowControl w:val="0"/>
              <w:tabs>
                <w:tab w:val="left" w:pos="1692"/>
              </w:tabs>
              <w:rPr>
                <w:rFonts w:ascii="Times New Roman" w:hAnsi="Times New Roman" w:cs="Times New Roman"/>
                <w:sz w:val="28"/>
              </w:rPr>
            </w:pPr>
            <w:r w:rsidRPr="008D283C">
              <w:rPr>
                <w:rFonts w:ascii="Times New Roman" w:hAnsi="Times New Roman" w:cs="Times New Roman"/>
                <w:sz w:val="28"/>
              </w:rPr>
              <w:t xml:space="preserve">                                       А.П. Вострикова</w:t>
            </w:r>
          </w:p>
        </w:tc>
      </w:tr>
    </w:tbl>
    <w:p w:rsidR="00445580" w:rsidRDefault="00445580" w:rsidP="00DF08EF">
      <w:pPr>
        <w:widowControl w:val="0"/>
        <w:rPr>
          <w:rFonts w:ascii="Times New Roman" w:hAnsi="Times New Roman" w:cs="Times New Roman"/>
          <w:sz w:val="24"/>
          <w:szCs w:val="24"/>
        </w:rPr>
      </w:pPr>
    </w:p>
    <w:sectPr w:rsidR="00445580" w:rsidSect="000902EE">
      <w:headerReference w:type="default" r:id="rId8"/>
      <w:pgSz w:w="11906" w:h="16838"/>
      <w:pgMar w:top="709" w:right="849"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F8D" w:rsidRDefault="00E95F8D" w:rsidP="00617B40">
      <w:pPr>
        <w:spacing w:after="0" w:line="240" w:lineRule="auto"/>
      </w:pPr>
      <w:r>
        <w:separator/>
      </w:r>
    </w:p>
  </w:endnote>
  <w:endnote w:type="continuationSeparator" w:id="1">
    <w:p w:rsidR="00E95F8D" w:rsidRDefault="00E95F8D" w:rsidP="00617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F8D" w:rsidRDefault="00E95F8D" w:rsidP="00617B40">
      <w:pPr>
        <w:spacing w:after="0" w:line="240" w:lineRule="auto"/>
      </w:pPr>
      <w:r>
        <w:separator/>
      </w:r>
    </w:p>
  </w:footnote>
  <w:footnote w:type="continuationSeparator" w:id="1">
    <w:p w:rsidR="00E95F8D" w:rsidRDefault="00E95F8D" w:rsidP="00617B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381407"/>
      <w:docPartObj>
        <w:docPartGallery w:val="Page Numbers (Top of Page)"/>
        <w:docPartUnique/>
      </w:docPartObj>
    </w:sdtPr>
    <w:sdtContent>
      <w:p w:rsidR="00E95F8D" w:rsidRPr="004C6793" w:rsidRDefault="00F84AA2">
        <w:pPr>
          <w:pStyle w:val="a6"/>
          <w:jc w:val="center"/>
          <w:rPr>
            <w:rFonts w:ascii="Times New Roman" w:hAnsi="Times New Roman" w:cs="Times New Roman"/>
          </w:rPr>
        </w:pPr>
        <w:r w:rsidRPr="004C6793">
          <w:rPr>
            <w:rFonts w:ascii="Times New Roman" w:hAnsi="Times New Roman" w:cs="Times New Roman"/>
          </w:rPr>
          <w:fldChar w:fldCharType="begin"/>
        </w:r>
        <w:r w:rsidR="00E95F8D" w:rsidRPr="004C6793">
          <w:rPr>
            <w:rFonts w:ascii="Times New Roman" w:hAnsi="Times New Roman" w:cs="Times New Roman"/>
          </w:rPr>
          <w:instrText xml:space="preserve"> PAGE   \* MERGEFORMAT </w:instrText>
        </w:r>
        <w:r w:rsidRPr="004C6793">
          <w:rPr>
            <w:rFonts w:ascii="Times New Roman" w:hAnsi="Times New Roman" w:cs="Times New Roman"/>
          </w:rPr>
          <w:fldChar w:fldCharType="separate"/>
        </w:r>
        <w:r w:rsidR="000902EE">
          <w:rPr>
            <w:rFonts w:ascii="Times New Roman" w:hAnsi="Times New Roman" w:cs="Times New Roman"/>
            <w:noProof/>
          </w:rPr>
          <w:t>2</w:t>
        </w:r>
        <w:r w:rsidRPr="004C6793">
          <w:rPr>
            <w:rFonts w:ascii="Times New Roman" w:hAnsi="Times New Roman" w:cs="Times New Roman"/>
          </w:rPr>
          <w:fldChar w:fldCharType="end"/>
        </w:r>
      </w:p>
    </w:sdtContent>
  </w:sdt>
  <w:p w:rsidR="00E95F8D" w:rsidRDefault="00E95F8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5D44"/>
    <w:multiLevelType w:val="hybridMultilevel"/>
    <w:tmpl w:val="A0C2E4B2"/>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
    <w:nsid w:val="1D2F462D"/>
    <w:multiLevelType w:val="hybridMultilevel"/>
    <w:tmpl w:val="F4D42302"/>
    <w:lvl w:ilvl="0" w:tplc="25023E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1F56CA"/>
    <w:multiLevelType w:val="hybridMultilevel"/>
    <w:tmpl w:val="5478E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1F7437"/>
    <w:multiLevelType w:val="hybridMultilevel"/>
    <w:tmpl w:val="66DEAE48"/>
    <w:lvl w:ilvl="0" w:tplc="0A3C1B00">
      <w:start w:val="1"/>
      <w:numFmt w:val="bullet"/>
      <w:lvlText w:val="-"/>
      <w:lvlJc w:val="left"/>
      <w:pPr>
        <w:ind w:left="1560" w:hanging="360"/>
      </w:pPr>
      <w:rPr>
        <w:rFonts w:ascii="Times New Roman" w:hAnsi="Times New Roman" w:cs="Times New Roman"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4">
    <w:nsid w:val="33F50021"/>
    <w:multiLevelType w:val="hybridMultilevel"/>
    <w:tmpl w:val="39B402D0"/>
    <w:lvl w:ilvl="0" w:tplc="25023E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B36EDA"/>
    <w:multiLevelType w:val="hybridMultilevel"/>
    <w:tmpl w:val="C2FCCA60"/>
    <w:lvl w:ilvl="0" w:tplc="25023E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00081D"/>
    <w:multiLevelType w:val="hybridMultilevel"/>
    <w:tmpl w:val="D44E5268"/>
    <w:lvl w:ilvl="0" w:tplc="25023E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2049D4"/>
    <w:multiLevelType w:val="hybridMultilevel"/>
    <w:tmpl w:val="40682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475780"/>
    <w:multiLevelType w:val="hybridMultilevel"/>
    <w:tmpl w:val="2D021A54"/>
    <w:lvl w:ilvl="0" w:tplc="25023E76">
      <w:start w:val="1"/>
      <w:numFmt w:val="bullet"/>
      <w:lvlText w:val="-"/>
      <w:lvlJc w:val="left"/>
      <w:pPr>
        <w:ind w:left="1485" w:hanging="360"/>
      </w:pPr>
      <w:rPr>
        <w:rFonts w:ascii="Times New Roman" w:hAnsi="Times New Roman" w:cs="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7CE05E4F"/>
    <w:multiLevelType w:val="hybridMultilevel"/>
    <w:tmpl w:val="15BACC5A"/>
    <w:lvl w:ilvl="0" w:tplc="75F6D224">
      <w:numFmt w:val="bullet"/>
      <w:lvlText w:val="-"/>
      <w:lvlJc w:val="left"/>
      <w:pPr>
        <w:tabs>
          <w:tab w:val="num" w:pos="1429"/>
        </w:tabs>
        <w:ind w:left="1429" w:hanging="360"/>
      </w:pPr>
      <w:rPr>
        <w:rFonts w:ascii="Times New Roman" w:eastAsia="Times New Roman" w:hAnsi="Times New Roman" w:hint="default"/>
        <w:b/>
      </w:rPr>
    </w:lvl>
    <w:lvl w:ilvl="1" w:tplc="60E6BE7A">
      <w:start w:val="1"/>
      <w:numFmt w:val="bullet"/>
      <w:lvlText w:val="o"/>
      <w:lvlJc w:val="left"/>
      <w:pPr>
        <w:tabs>
          <w:tab w:val="num" w:pos="2149"/>
        </w:tabs>
        <w:ind w:left="2149" w:hanging="360"/>
      </w:pPr>
      <w:rPr>
        <w:rFonts w:ascii="Courier New" w:hAnsi="Courier New" w:hint="default"/>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bullet"/>
      <w:lvlText w:val=""/>
      <w:lvlJc w:val="left"/>
      <w:pPr>
        <w:tabs>
          <w:tab w:val="num" w:pos="3589"/>
        </w:tabs>
        <w:ind w:left="3589" w:hanging="360"/>
      </w:pPr>
      <w:rPr>
        <w:rFonts w:ascii="Symbol" w:hAnsi="Symbol" w:hint="default"/>
      </w:rPr>
    </w:lvl>
    <w:lvl w:ilvl="4" w:tplc="04190019">
      <w:start w:val="1"/>
      <w:numFmt w:val="bullet"/>
      <w:lvlText w:val="o"/>
      <w:lvlJc w:val="left"/>
      <w:pPr>
        <w:tabs>
          <w:tab w:val="num" w:pos="4309"/>
        </w:tabs>
        <w:ind w:left="4309" w:hanging="360"/>
      </w:pPr>
      <w:rPr>
        <w:rFonts w:ascii="Courier New" w:hAnsi="Courier New" w:hint="default"/>
      </w:rPr>
    </w:lvl>
    <w:lvl w:ilvl="5" w:tplc="0419001B">
      <w:start w:val="1"/>
      <w:numFmt w:val="bullet"/>
      <w:lvlText w:val=""/>
      <w:lvlJc w:val="left"/>
      <w:pPr>
        <w:tabs>
          <w:tab w:val="num" w:pos="5029"/>
        </w:tabs>
        <w:ind w:left="5029" w:hanging="360"/>
      </w:pPr>
      <w:rPr>
        <w:rFonts w:ascii="Wingdings" w:hAnsi="Wingdings" w:hint="default"/>
      </w:rPr>
    </w:lvl>
    <w:lvl w:ilvl="6" w:tplc="0419000F">
      <w:start w:val="1"/>
      <w:numFmt w:val="bullet"/>
      <w:lvlText w:val=""/>
      <w:lvlJc w:val="left"/>
      <w:pPr>
        <w:tabs>
          <w:tab w:val="num" w:pos="5749"/>
        </w:tabs>
        <w:ind w:left="5749" w:hanging="360"/>
      </w:pPr>
      <w:rPr>
        <w:rFonts w:ascii="Symbol" w:hAnsi="Symbol" w:hint="default"/>
      </w:rPr>
    </w:lvl>
    <w:lvl w:ilvl="7" w:tplc="04190019">
      <w:start w:val="1"/>
      <w:numFmt w:val="bullet"/>
      <w:lvlText w:val="o"/>
      <w:lvlJc w:val="left"/>
      <w:pPr>
        <w:tabs>
          <w:tab w:val="num" w:pos="6469"/>
        </w:tabs>
        <w:ind w:left="6469" w:hanging="360"/>
      </w:pPr>
      <w:rPr>
        <w:rFonts w:ascii="Courier New" w:hAnsi="Courier New" w:hint="default"/>
      </w:rPr>
    </w:lvl>
    <w:lvl w:ilvl="8" w:tplc="0419001B">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6"/>
  </w:num>
  <w:num w:numId="6">
    <w:abstractNumId w:val="9"/>
  </w:num>
  <w:num w:numId="7">
    <w:abstractNumId w:val="7"/>
  </w:num>
  <w:num w:numId="8">
    <w:abstractNumId w:val="5"/>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drawingGridHorizontalSpacing w:val="110"/>
  <w:displayHorizontalDrawingGridEvery w:val="2"/>
  <w:characterSpacingControl w:val="doNotCompress"/>
  <w:hdrShapeDefaults>
    <o:shapedefaults v:ext="edit" spidmax="30721"/>
  </w:hdrShapeDefaults>
  <w:footnotePr>
    <w:footnote w:id="0"/>
    <w:footnote w:id="1"/>
  </w:footnotePr>
  <w:endnotePr>
    <w:endnote w:id="0"/>
    <w:endnote w:id="1"/>
  </w:endnotePr>
  <w:compat/>
  <w:rsids>
    <w:rsidRoot w:val="00636F28"/>
    <w:rsid w:val="00005525"/>
    <w:rsid w:val="0001354D"/>
    <w:rsid w:val="00066AAE"/>
    <w:rsid w:val="000902EE"/>
    <w:rsid w:val="00094C89"/>
    <w:rsid w:val="000C4EC4"/>
    <w:rsid w:val="000F242D"/>
    <w:rsid w:val="000F635D"/>
    <w:rsid w:val="0010052E"/>
    <w:rsid w:val="00107046"/>
    <w:rsid w:val="0013359F"/>
    <w:rsid w:val="00152E9D"/>
    <w:rsid w:val="0018600B"/>
    <w:rsid w:val="001C5C3F"/>
    <w:rsid w:val="00253AF6"/>
    <w:rsid w:val="00254ADB"/>
    <w:rsid w:val="00257732"/>
    <w:rsid w:val="00264750"/>
    <w:rsid w:val="00273D22"/>
    <w:rsid w:val="002B2AE3"/>
    <w:rsid w:val="002E0FD8"/>
    <w:rsid w:val="002E3E64"/>
    <w:rsid w:val="00301280"/>
    <w:rsid w:val="003044D8"/>
    <w:rsid w:val="0031054A"/>
    <w:rsid w:val="003166FA"/>
    <w:rsid w:val="00316702"/>
    <w:rsid w:val="00317401"/>
    <w:rsid w:val="0034258B"/>
    <w:rsid w:val="003520C8"/>
    <w:rsid w:val="003671E4"/>
    <w:rsid w:val="00381F03"/>
    <w:rsid w:val="003C091C"/>
    <w:rsid w:val="003E6DE3"/>
    <w:rsid w:val="00404881"/>
    <w:rsid w:val="00432B8B"/>
    <w:rsid w:val="00445580"/>
    <w:rsid w:val="004502F0"/>
    <w:rsid w:val="00475DBB"/>
    <w:rsid w:val="004B1CA5"/>
    <w:rsid w:val="004B5431"/>
    <w:rsid w:val="004C6793"/>
    <w:rsid w:val="004D29B5"/>
    <w:rsid w:val="004F0855"/>
    <w:rsid w:val="00524503"/>
    <w:rsid w:val="005439BD"/>
    <w:rsid w:val="0056424E"/>
    <w:rsid w:val="00566C7E"/>
    <w:rsid w:val="005757CE"/>
    <w:rsid w:val="005A66B0"/>
    <w:rsid w:val="005B56A3"/>
    <w:rsid w:val="005B7083"/>
    <w:rsid w:val="005C6E86"/>
    <w:rsid w:val="005D3B05"/>
    <w:rsid w:val="005F0864"/>
    <w:rsid w:val="005F15E5"/>
    <w:rsid w:val="00616CB9"/>
    <w:rsid w:val="00617B40"/>
    <w:rsid w:val="00626321"/>
    <w:rsid w:val="00636F28"/>
    <w:rsid w:val="00640075"/>
    <w:rsid w:val="006722F9"/>
    <w:rsid w:val="00684186"/>
    <w:rsid w:val="006C37AF"/>
    <w:rsid w:val="006D7908"/>
    <w:rsid w:val="006F51D3"/>
    <w:rsid w:val="00707887"/>
    <w:rsid w:val="007243C4"/>
    <w:rsid w:val="007343BF"/>
    <w:rsid w:val="00742476"/>
    <w:rsid w:val="00746CEA"/>
    <w:rsid w:val="007C75EA"/>
    <w:rsid w:val="007F6F51"/>
    <w:rsid w:val="0084783F"/>
    <w:rsid w:val="00894665"/>
    <w:rsid w:val="008978C9"/>
    <w:rsid w:val="008C139A"/>
    <w:rsid w:val="008C2ACB"/>
    <w:rsid w:val="008D08BB"/>
    <w:rsid w:val="008D283C"/>
    <w:rsid w:val="008D603E"/>
    <w:rsid w:val="008E4601"/>
    <w:rsid w:val="008E48BF"/>
    <w:rsid w:val="008E7613"/>
    <w:rsid w:val="00933810"/>
    <w:rsid w:val="009376A0"/>
    <w:rsid w:val="00997AFC"/>
    <w:rsid w:val="009C0855"/>
    <w:rsid w:val="009C11C4"/>
    <w:rsid w:val="009F6EC2"/>
    <w:rsid w:val="00A01FC3"/>
    <w:rsid w:val="00A02CA7"/>
    <w:rsid w:val="00A33D50"/>
    <w:rsid w:val="00AC194A"/>
    <w:rsid w:val="00AE6384"/>
    <w:rsid w:val="00AF55E6"/>
    <w:rsid w:val="00B22BB6"/>
    <w:rsid w:val="00B250FA"/>
    <w:rsid w:val="00B3222A"/>
    <w:rsid w:val="00BB7B91"/>
    <w:rsid w:val="00BF262A"/>
    <w:rsid w:val="00C23B55"/>
    <w:rsid w:val="00C30C09"/>
    <w:rsid w:val="00C36F5A"/>
    <w:rsid w:val="00C37F0E"/>
    <w:rsid w:val="00C86C76"/>
    <w:rsid w:val="00C96528"/>
    <w:rsid w:val="00CD2DCC"/>
    <w:rsid w:val="00D26095"/>
    <w:rsid w:val="00D368FD"/>
    <w:rsid w:val="00DC4D8A"/>
    <w:rsid w:val="00DF08EF"/>
    <w:rsid w:val="00E35715"/>
    <w:rsid w:val="00E624C3"/>
    <w:rsid w:val="00E7171B"/>
    <w:rsid w:val="00E95F8D"/>
    <w:rsid w:val="00EA65A7"/>
    <w:rsid w:val="00EB4B8C"/>
    <w:rsid w:val="00EF214F"/>
    <w:rsid w:val="00EF7411"/>
    <w:rsid w:val="00F155DA"/>
    <w:rsid w:val="00F24161"/>
    <w:rsid w:val="00F262C9"/>
    <w:rsid w:val="00F32CB8"/>
    <w:rsid w:val="00F60BCC"/>
    <w:rsid w:val="00F84AA2"/>
    <w:rsid w:val="00FA6953"/>
    <w:rsid w:val="00FD37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7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17B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7B40"/>
  </w:style>
  <w:style w:type="paragraph" w:styleId="a8">
    <w:name w:val="footer"/>
    <w:basedOn w:val="a"/>
    <w:link w:val="a9"/>
    <w:uiPriority w:val="99"/>
    <w:unhideWhenUsed/>
    <w:rsid w:val="00617B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7B40"/>
  </w:style>
  <w:style w:type="paragraph" w:customStyle="1" w:styleId="aa">
    <w:name w:val="Обычн"/>
    <w:uiPriority w:val="99"/>
    <w:qFormat/>
    <w:rsid w:val="007243C4"/>
    <w:pPr>
      <w:widowControl w:val="0"/>
      <w:spacing w:after="0" w:line="240" w:lineRule="auto"/>
      <w:ind w:firstLine="709"/>
      <w:jc w:val="both"/>
    </w:pPr>
    <w:rPr>
      <w:rFonts w:ascii="Times New Roman" w:eastAsia="Times New Roman" w:hAnsi="Times New Roman" w:cs="Times New Roman"/>
      <w:szCs w:val="20"/>
      <w:lang w:eastAsia="ru-RU"/>
    </w:rPr>
  </w:style>
  <w:style w:type="paragraph" w:styleId="ab">
    <w:name w:val="Body Text Indent"/>
    <w:basedOn w:val="a"/>
    <w:link w:val="ac"/>
    <w:uiPriority w:val="99"/>
    <w:rsid w:val="007243C4"/>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uiPriority w:val="99"/>
    <w:rsid w:val="007243C4"/>
    <w:rPr>
      <w:rFonts w:ascii="Times New Roman" w:eastAsia="Times New Roman" w:hAnsi="Times New Roman" w:cs="Times New Roman"/>
      <w:sz w:val="24"/>
      <w:szCs w:val="24"/>
      <w:lang w:eastAsia="ru-RU"/>
    </w:rPr>
  </w:style>
  <w:style w:type="character" w:styleId="ad">
    <w:name w:val="Hyperlink"/>
    <w:uiPriority w:val="99"/>
    <w:rsid w:val="007243C4"/>
    <w:rPr>
      <w:rFonts w:cs="Times New Roman"/>
      <w:color w:val="0000FF"/>
      <w:u w:val="single"/>
    </w:rPr>
  </w:style>
  <w:style w:type="paragraph" w:styleId="ae">
    <w:name w:val="List Paragraph"/>
    <w:basedOn w:val="a"/>
    <w:uiPriority w:val="99"/>
    <w:qFormat/>
    <w:rsid w:val="007243C4"/>
    <w:pPr>
      <w:ind w:left="720"/>
      <w:contextualSpacing/>
    </w:pPr>
    <w:rPr>
      <w:rFonts w:ascii="Calibri" w:eastAsia="Calibri" w:hAnsi="Calibri" w:cs="Times New Roman"/>
    </w:rPr>
  </w:style>
  <w:style w:type="paragraph" w:customStyle="1" w:styleId="1">
    <w:name w:val="Абзац списка1"/>
    <w:basedOn w:val="a"/>
    <w:uiPriority w:val="99"/>
    <w:rsid w:val="007243C4"/>
    <w:pPr>
      <w:widowControl w:val="0"/>
      <w:tabs>
        <w:tab w:val="left" w:pos="5387"/>
      </w:tabs>
      <w:spacing w:after="0" w:line="240" w:lineRule="auto"/>
      <w:ind w:left="720" w:firstLine="720"/>
      <w:contextualSpacing/>
      <w:jc w:val="both"/>
    </w:pPr>
    <w:rPr>
      <w:rFonts w:ascii="Times New Roman" w:eastAsia="Times New Roman" w:hAnsi="Times New Roman" w:cs="Times New Roman"/>
      <w:sz w:val="24"/>
      <w:szCs w:val="24"/>
      <w:lang w:eastAsia="ru-RU"/>
    </w:rPr>
  </w:style>
  <w:style w:type="paragraph" w:styleId="af">
    <w:name w:val="Normal (Web)"/>
    <w:aliases w:val="Знак2,Обычный (Web),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
    <w:basedOn w:val="a"/>
    <w:link w:val="10"/>
    <w:uiPriority w:val="99"/>
    <w:rsid w:val="002E3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Обычный (веб) Знак1"/>
    <w:aliases w:val="Знак2 Знак,Обычный (Web) Знак,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
    <w:link w:val="af"/>
    <w:uiPriority w:val="99"/>
    <w:locked/>
    <w:rsid w:val="002E3E64"/>
    <w:rPr>
      <w:rFonts w:ascii="Times New Roman" w:eastAsia="Times New Roman" w:hAnsi="Times New Roman" w:cs="Times New Roman"/>
      <w:sz w:val="24"/>
      <w:szCs w:val="24"/>
      <w:lang w:eastAsia="ru-RU"/>
    </w:rPr>
  </w:style>
  <w:style w:type="paragraph" w:styleId="2">
    <w:name w:val="Body Text 2"/>
    <w:basedOn w:val="a"/>
    <w:link w:val="20"/>
    <w:uiPriority w:val="99"/>
    <w:rsid w:val="00B3222A"/>
    <w:pPr>
      <w:tabs>
        <w:tab w:val="left" w:pos="142"/>
        <w:tab w:val="left" w:pos="5387"/>
      </w:tabs>
      <w:spacing w:after="120" w:line="480" w:lineRule="auto"/>
      <w:ind w:firstLine="851"/>
      <w:jc w:val="both"/>
    </w:pPr>
    <w:rPr>
      <w:rFonts w:ascii="Times New Roman" w:eastAsia="Times New Roman" w:hAnsi="Times New Roman" w:cs="Times New Roman"/>
      <w:iCs/>
      <w:sz w:val="24"/>
      <w:szCs w:val="24"/>
      <w:lang w:eastAsia="ru-RU"/>
    </w:rPr>
  </w:style>
  <w:style w:type="character" w:customStyle="1" w:styleId="20">
    <w:name w:val="Основной текст 2 Знак"/>
    <w:basedOn w:val="a0"/>
    <w:link w:val="2"/>
    <w:uiPriority w:val="99"/>
    <w:rsid w:val="00B3222A"/>
    <w:rPr>
      <w:rFonts w:ascii="Times New Roman" w:eastAsia="Times New Roman" w:hAnsi="Times New Roman" w:cs="Times New Roman"/>
      <w:iCs/>
      <w:sz w:val="24"/>
      <w:szCs w:val="24"/>
      <w:lang w:eastAsia="ru-RU"/>
    </w:rPr>
  </w:style>
  <w:style w:type="paragraph" w:styleId="af0">
    <w:name w:val="Subtitle"/>
    <w:basedOn w:val="a"/>
    <w:link w:val="af1"/>
    <w:uiPriority w:val="99"/>
    <w:qFormat/>
    <w:rsid w:val="00316702"/>
    <w:pPr>
      <w:spacing w:after="0" w:line="240" w:lineRule="auto"/>
      <w:jc w:val="both"/>
    </w:pPr>
    <w:rPr>
      <w:rFonts w:ascii="Times New Roman" w:eastAsia="Times New Roman" w:hAnsi="Times New Roman" w:cs="Times New Roman"/>
      <w:sz w:val="24"/>
      <w:szCs w:val="24"/>
      <w:lang w:val="en-US" w:eastAsia="ru-RU"/>
    </w:rPr>
  </w:style>
  <w:style w:type="character" w:customStyle="1" w:styleId="af1">
    <w:name w:val="Подзаголовок Знак"/>
    <w:basedOn w:val="a0"/>
    <w:link w:val="af0"/>
    <w:uiPriority w:val="99"/>
    <w:rsid w:val="00316702"/>
    <w:rPr>
      <w:rFonts w:ascii="Times New Roman" w:eastAsia="Times New Roman" w:hAnsi="Times New Roman" w:cs="Times New Roman"/>
      <w:sz w:val="24"/>
      <w:szCs w:val="24"/>
      <w:lang w:val="en-US" w:eastAsia="ru-RU"/>
    </w:rPr>
  </w:style>
  <w:style w:type="paragraph" w:styleId="af2">
    <w:name w:val="Body Text"/>
    <w:basedOn w:val="a"/>
    <w:link w:val="af3"/>
    <w:qFormat/>
    <w:rsid w:val="00C96528"/>
    <w:pPr>
      <w:tabs>
        <w:tab w:val="left" w:pos="142"/>
        <w:tab w:val="left" w:pos="5387"/>
      </w:tabs>
      <w:spacing w:after="120" w:line="240" w:lineRule="auto"/>
      <w:ind w:firstLine="851"/>
      <w:jc w:val="both"/>
    </w:pPr>
    <w:rPr>
      <w:rFonts w:ascii="Times New Roman" w:eastAsia="Times New Roman" w:hAnsi="Times New Roman" w:cs="Times New Roman"/>
      <w:iCs/>
      <w:sz w:val="24"/>
      <w:szCs w:val="24"/>
      <w:lang w:eastAsia="ru-RU"/>
    </w:rPr>
  </w:style>
  <w:style w:type="character" w:customStyle="1" w:styleId="af3">
    <w:name w:val="Основной текст Знак"/>
    <w:basedOn w:val="a0"/>
    <w:link w:val="af2"/>
    <w:uiPriority w:val="99"/>
    <w:semiHidden/>
    <w:rsid w:val="00C96528"/>
    <w:rPr>
      <w:rFonts w:ascii="Times New Roman" w:eastAsia="Times New Roman" w:hAnsi="Times New Roman" w:cs="Times New Roman"/>
      <w:iCs/>
      <w:sz w:val="24"/>
      <w:szCs w:val="24"/>
      <w:lang w:eastAsia="ru-RU"/>
    </w:rPr>
  </w:style>
  <w:style w:type="character" w:customStyle="1" w:styleId="apple-converted-space">
    <w:name w:val="apple-converted-space"/>
    <w:uiPriority w:val="99"/>
    <w:rsid w:val="002E0FD8"/>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83742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9F243-FD55-408E-93A1-9B205B0AA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4501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2021-02-24T10:18:00Z</dcterms:created>
  <dcterms:modified xsi:type="dcterms:W3CDTF">2024-12-13T09:33:00Z</dcterms:modified>
</cp:coreProperties>
</file>