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663E11">
        <w:rPr>
          <w:rFonts w:ascii="Times New Roman" w:eastAsia="Times New Roman" w:hAnsi="Times New Roman" w:cs="Times New Roman"/>
          <w:sz w:val="24"/>
          <w:szCs w:val="24"/>
          <w:lang w:eastAsia="ru-RU"/>
        </w:rPr>
        <w:t>22.05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A3E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63E11">
        <w:rPr>
          <w:rFonts w:ascii="Times New Roman" w:eastAsia="Times New Roman" w:hAnsi="Times New Roman" w:cs="Times New Roman"/>
          <w:sz w:val="24"/>
          <w:szCs w:val="24"/>
          <w:lang w:eastAsia="ru-RU"/>
        </w:rPr>
        <w:t>4252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</w:t>
      </w:r>
      <w:r w:rsidR="006A3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павильона металлического, размером 3*3 м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 w:rsidR="0071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="00145B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31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EF8">
        <w:rPr>
          <w:rFonts w:ascii="Times New Roman" w:eastAsia="Calibri" w:hAnsi="Times New Roman" w:cs="Times New Roman"/>
          <w:sz w:val="24"/>
          <w:szCs w:val="24"/>
        </w:rPr>
        <w:t xml:space="preserve">Муниципальное движимое имущество: павильон металлический, размером 3*3 м, расположенный по адресу: Самарская область, </w:t>
      </w:r>
      <w:proofErr w:type="gramStart"/>
      <w:r w:rsidR="006A3EF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6A3EF8">
        <w:rPr>
          <w:rFonts w:ascii="Times New Roman" w:eastAsia="Calibri" w:hAnsi="Times New Roman" w:cs="Times New Roman"/>
          <w:sz w:val="24"/>
          <w:szCs w:val="24"/>
        </w:rPr>
        <w:t xml:space="preserve">. Тольятти, Центральный район, ул. </w:t>
      </w:r>
      <w:proofErr w:type="spellStart"/>
      <w:r w:rsidR="006A3EF8">
        <w:rPr>
          <w:rFonts w:ascii="Times New Roman" w:eastAsia="Calibri" w:hAnsi="Times New Roman" w:cs="Times New Roman"/>
          <w:sz w:val="24"/>
          <w:szCs w:val="24"/>
        </w:rPr>
        <w:t>Новозаводская</w:t>
      </w:r>
      <w:proofErr w:type="spellEnd"/>
      <w:r w:rsidR="006A3EF8">
        <w:rPr>
          <w:rFonts w:ascii="Times New Roman" w:eastAsia="Calibri" w:hAnsi="Times New Roman" w:cs="Times New Roman"/>
          <w:sz w:val="24"/>
          <w:szCs w:val="24"/>
        </w:rPr>
        <w:t>, 29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63 385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три</w:t>
      </w:r>
      <w:r w:rsidR="0031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восемьдесят пять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DA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DA706A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635A7" w:rsidRPr="00326E4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</w:t>
      </w:r>
      <w:r w:rsidR="00663E1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DF026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663E1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663E1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A70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63E1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663E1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030F28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663E1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663E1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DF0265" w:rsidRDefault="00DF0265" w:rsidP="00DF026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65" w:rsidRPr="00DF0265" w:rsidRDefault="00DF0265" w:rsidP="00DF02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265">
        <w:rPr>
          <w:rFonts w:ascii="Times New Roman" w:hAnsi="Times New Roman" w:cs="Times New Roman"/>
          <w:b/>
          <w:sz w:val="24"/>
          <w:szCs w:val="24"/>
        </w:rPr>
        <w:t>Местонахождение муниципального (движимого) имущества:</w:t>
      </w:r>
      <w:r w:rsidRPr="00DF0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Тольятти, Центральный район,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Новозаводская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29</w:t>
      </w:r>
      <w:r w:rsidRPr="00DF0265">
        <w:rPr>
          <w:rFonts w:ascii="Times New Roman" w:hAnsi="Times New Roman" w:cs="Times New Roman"/>
          <w:sz w:val="24"/>
          <w:szCs w:val="24"/>
        </w:rPr>
        <w:t>.</w:t>
      </w:r>
    </w:p>
    <w:p w:rsidR="00DF0265" w:rsidRPr="00DF0265" w:rsidRDefault="00DF0265" w:rsidP="00DF02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</w:t>
      </w:r>
      <w:r w:rsidRPr="00DF0265">
        <w:rPr>
          <w:rFonts w:ascii="Times New Roman" w:hAnsi="Times New Roman" w:cs="Times New Roman"/>
          <w:sz w:val="24"/>
          <w:szCs w:val="24"/>
        </w:rPr>
        <w:t xml:space="preserve"> осмотра выставляемого на торги муниципального имущества необходимо </w:t>
      </w:r>
      <w:r>
        <w:rPr>
          <w:rFonts w:ascii="Times New Roman" w:hAnsi="Times New Roman" w:cs="Times New Roman"/>
          <w:sz w:val="24"/>
          <w:szCs w:val="24"/>
        </w:rPr>
        <w:t xml:space="preserve">обращаться </w:t>
      </w:r>
      <w:proofErr w:type="gramStart"/>
      <w:r w:rsidR="004B73D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B7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3D1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="004B73D1">
        <w:rPr>
          <w:rFonts w:ascii="Times New Roman" w:hAnsi="Times New Roman" w:cs="Times New Roman"/>
          <w:sz w:val="24"/>
          <w:szCs w:val="24"/>
        </w:rPr>
        <w:t xml:space="preserve">. 8(917)034-88-56 Кузнецов Олег Анатольевич или </w:t>
      </w:r>
      <w:r>
        <w:rPr>
          <w:rFonts w:ascii="Times New Roman" w:hAnsi="Times New Roman" w:cs="Times New Roman"/>
          <w:sz w:val="24"/>
          <w:szCs w:val="24"/>
        </w:rPr>
        <w:t xml:space="preserve">в отдел пользования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приватизации муниципального имущества (начальник отдела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Фахритдинова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DF0265">
        <w:rPr>
          <w:rFonts w:ascii="Times New Roman" w:hAnsi="Times New Roman" w:cs="Times New Roman"/>
          <w:sz w:val="24"/>
          <w:szCs w:val="24"/>
        </w:rPr>
        <w:t xml:space="preserve"> тел.: 8(8482) </w:t>
      </w:r>
      <w:r w:rsidR="00937DC2">
        <w:rPr>
          <w:rFonts w:ascii="Times New Roman" w:hAnsi="Times New Roman" w:cs="Times New Roman"/>
          <w:sz w:val="24"/>
          <w:szCs w:val="24"/>
        </w:rPr>
        <w:t>54-39</w:t>
      </w:r>
      <w:r w:rsidRPr="00DF0265">
        <w:rPr>
          <w:rFonts w:ascii="Times New Roman" w:hAnsi="Times New Roman" w:cs="Times New Roman"/>
          <w:sz w:val="24"/>
          <w:szCs w:val="24"/>
        </w:rPr>
        <w:t>-</w:t>
      </w:r>
      <w:r w:rsidR="00937DC2">
        <w:rPr>
          <w:rFonts w:ascii="Times New Roman" w:hAnsi="Times New Roman" w:cs="Times New Roman"/>
          <w:sz w:val="24"/>
          <w:szCs w:val="24"/>
        </w:rPr>
        <w:t>88).</w:t>
      </w:r>
    </w:p>
    <w:p w:rsidR="00030F28" w:rsidRPr="002B7B5F" w:rsidRDefault="00030F28" w:rsidP="0093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30F28" w:rsidRPr="002B7B5F" w:rsidRDefault="00E5451B" w:rsidP="00E5451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F28"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E5451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D6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937DC2">
        <w:rPr>
          <w:rFonts w:ascii="Times New Roman" w:eastAsia="Times New Roman" w:hAnsi="Times New Roman" w:cs="Times New Roman"/>
          <w:sz w:val="24"/>
          <w:szCs w:val="24"/>
          <w:lang w:eastAsia="ru-RU"/>
        </w:rPr>
        <w:t>6 338 руб. 50 коп.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37D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937D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тридцать восемь рублей 50 копеек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(без НДС).</w:t>
      </w:r>
    </w:p>
    <w:p w:rsidR="00030F28" w:rsidRPr="002B7B5F" w:rsidRDefault="00030F28" w:rsidP="00030F2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030F28" w:rsidRPr="002B7B5F" w:rsidRDefault="00030F28" w:rsidP="00030F2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00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Задаток</w:t>
      </w:r>
      <w:r w:rsidR="0023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937DC2" w:rsidP="00937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30F28"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30F28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030F28" w:rsidRPr="002B7B5F" w:rsidRDefault="00030F28" w:rsidP="00030F2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33D1" w:rsidRDefault="009233D1" w:rsidP="009233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обо всех предыдущих торгах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9233D1" w:rsidRDefault="009233D1" w:rsidP="009233D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муниципальное имущество выставлялось на аукционы 01.03.2024, 26.04.2024. В соответствии с протоколами о признании претендентов участниками аукциона от 29.02.2024, 25.04.2024 аукционы признаны несостоявшимися в связи с отсутствием заявок на участие в аукционах.</w:t>
      </w:r>
    </w:p>
    <w:p w:rsidR="009233D1" w:rsidRDefault="009233D1" w:rsidP="0092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3FD5" w:rsidRDefault="00273FD5"/>
    <w:sectPr w:rsidR="00273FD5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28"/>
    <w:rsid w:val="00005031"/>
    <w:rsid w:val="00030F28"/>
    <w:rsid w:val="000B6504"/>
    <w:rsid w:val="00145BB4"/>
    <w:rsid w:val="00231A90"/>
    <w:rsid w:val="00273FD5"/>
    <w:rsid w:val="002E7A70"/>
    <w:rsid w:val="00315C68"/>
    <w:rsid w:val="00326E4F"/>
    <w:rsid w:val="00340D51"/>
    <w:rsid w:val="00344BAF"/>
    <w:rsid w:val="004635A7"/>
    <w:rsid w:val="004B73D1"/>
    <w:rsid w:val="004C3FA3"/>
    <w:rsid w:val="00663E11"/>
    <w:rsid w:val="006A3EF8"/>
    <w:rsid w:val="006B2593"/>
    <w:rsid w:val="00715F52"/>
    <w:rsid w:val="008C18BB"/>
    <w:rsid w:val="009233D1"/>
    <w:rsid w:val="00937DC2"/>
    <w:rsid w:val="00947CFA"/>
    <w:rsid w:val="00A45435"/>
    <w:rsid w:val="00CB35B5"/>
    <w:rsid w:val="00D612CB"/>
    <w:rsid w:val="00DA706A"/>
    <w:rsid w:val="00DE55CB"/>
    <w:rsid w:val="00DF0265"/>
    <w:rsid w:val="00E5451B"/>
    <w:rsid w:val="00FC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11</cp:revision>
  <cp:lastPrinted>2024-05-23T05:58:00Z</cp:lastPrinted>
  <dcterms:created xsi:type="dcterms:W3CDTF">2023-12-25T10:37:00Z</dcterms:created>
  <dcterms:modified xsi:type="dcterms:W3CDTF">2024-05-23T07:26:00Z</dcterms:modified>
</cp:coreProperties>
</file>