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5F" w:rsidRPr="0065060A" w:rsidRDefault="002F365F" w:rsidP="007D0E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60A">
        <w:rPr>
          <w:rFonts w:ascii="Times New Roman" w:hAnsi="Times New Roman" w:cs="Times New Roman"/>
          <w:b/>
          <w:sz w:val="28"/>
          <w:szCs w:val="24"/>
        </w:rPr>
        <w:t>Ответы на в</w:t>
      </w:r>
      <w:r w:rsidR="00E47F45" w:rsidRPr="0065060A">
        <w:rPr>
          <w:rFonts w:ascii="Times New Roman" w:hAnsi="Times New Roman" w:cs="Times New Roman"/>
          <w:b/>
          <w:sz w:val="28"/>
          <w:szCs w:val="24"/>
        </w:rPr>
        <w:t xml:space="preserve">опросы </w:t>
      </w:r>
      <w:r w:rsidR="00D4485F" w:rsidRPr="0065060A">
        <w:rPr>
          <w:rFonts w:ascii="Times New Roman" w:hAnsi="Times New Roman" w:cs="Times New Roman"/>
          <w:b/>
          <w:sz w:val="28"/>
          <w:szCs w:val="24"/>
        </w:rPr>
        <w:t>к</w:t>
      </w:r>
      <w:r w:rsidR="007D0E70" w:rsidRPr="0065060A">
        <w:rPr>
          <w:rFonts w:ascii="Times New Roman" w:hAnsi="Times New Roman" w:cs="Times New Roman"/>
          <w:b/>
          <w:sz w:val="28"/>
          <w:szCs w:val="24"/>
        </w:rPr>
        <w:t xml:space="preserve"> публичным слушаниям </w:t>
      </w:r>
    </w:p>
    <w:p w:rsidR="00915992" w:rsidRPr="0065060A" w:rsidRDefault="007D0E70" w:rsidP="007D0E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060A">
        <w:rPr>
          <w:rFonts w:ascii="Times New Roman" w:hAnsi="Times New Roman" w:cs="Times New Roman"/>
          <w:b/>
          <w:sz w:val="28"/>
          <w:szCs w:val="24"/>
        </w:rPr>
        <w:t>об</w:t>
      </w:r>
      <w:r w:rsidR="00E47F45" w:rsidRPr="0065060A">
        <w:rPr>
          <w:rFonts w:ascii="Times New Roman" w:hAnsi="Times New Roman" w:cs="Times New Roman"/>
          <w:b/>
          <w:sz w:val="28"/>
          <w:szCs w:val="24"/>
        </w:rPr>
        <w:t xml:space="preserve"> исполнени</w:t>
      </w:r>
      <w:r w:rsidRPr="0065060A">
        <w:rPr>
          <w:rFonts w:ascii="Times New Roman" w:hAnsi="Times New Roman" w:cs="Times New Roman"/>
          <w:b/>
          <w:sz w:val="28"/>
          <w:szCs w:val="24"/>
        </w:rPr>
        <w:t>и</w:t>
      </w:r>
      <w:r w:rsidR="00E47F45" w:rsidRPr="0065060A">
        <w:rPr>
          <w:rFonts w:ascii="Times New Roman" w:hAnsi="Times New Roman" w:cs="Times New Roman"/>
          <w:b/>
          <w:sz w:val="28"/>
          <w:szCs w:val="24"/>
        </w:rPr>
        <w:t xml:space="preserve"> бюджета </w:t>
      </w:r>
      <w:r w:rsidRPr="0065060A">
        <w:rPr>
          <w:rFonts w:ascii="Times New Roman" w:hAnsi="Times New Roman" w:cs="Times New Roman"/>
          <w:b/>
          <w:sz w:val="28"/>
          <w:szCs w:val="24"/>
        </w:rPr>
        <w:t>г</w:t>
      </w:r>
      <w:r w:rsidR="00BF37B4">
        <w:rPr>
          <w:rFonts w:ascii="Times New Roman" w:hAnsi="Times New Roman" w:cs="Times New Roman"/>
          <w:b/>
          <w:sz w:val="28"/>
          <w:szCs w:val="24"/>
        </w:rPr>
        <w:t xml:space="preserve">ородского округа </w:t>
      </w:r>
      <w:r w:rsidR="00E47F45" w:rsidRPr="0065060A">
        <w:rPr>
          <w:rFonts w:ascii="Times New Roman" w:hAnsi="Times New Roman" w:cs="Times New Roman"/>
          <w:b/>
          <w:sz w:val="28"/>
          <w:szCs w:val="24"/>
        </w:rPr>
        <w:t>Тольятти за 201</w:t>
      </w:r>
      <w:r w:rsidR="00D4485F" w:rsidRPr="0065060A">
        <w:rPr>
          <w:rFonts w:ascii="Times New Roman" w:hAnsi="Times New Roman" w:cs="Times New Roman"/>
          <w:b/>
          <w:sz w:val="28"/>
          <w:szCs w:val="24"/>
        </w:rPr>
        <w:t>6</w:t>
      </w:r>
      <w:r w:rsidR="00E47F45" w:rsidRPr="0065060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643FB" w:rsidRPr="009258E0" w:rsidRDefault="005643FB" w:rsidP="007D0E70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30E73" w:rsidRPr="00730E73" w:rsidRDefault="00D4485F" w:rsidP="005643F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73">
        <w:rPr>
          <w:rFonts w:ascii="Times New Roman" w:hAnsi="Times New Roman" w:cs="Times New Roman"/>
          <w:b/>
          <w:sz w:val="28"/>
          <w:szCs w:val="28"/>
        </w:rPr>
        <w:t>Исполнение по программе приватизации-28,3%. Проводился ли мэрией анализ причин отсутствия заявок на аукционы по реализации имущества, находящегося в муниципальной собственности и существуют ли предложения по исправлению ситуации, в том числе по возможным другим направлениям использования имуществ</w:t>
      </w:r>
      <w:r w:rsidR="008A5B57" w:rsidRPr="00730E73">
        <w:rPr>
          <w:rFonts w:ascii="Times New Roman" w:hAnsi="Times New Roman" w:cs="Times New Roman"/>
          <w:b/>
          <w:sz w:val="28"/>
          <w:szCs w:val="28"/>
        </w:rPr>
        <w:t>а (</w:t>
      </w:r>
      <w:r w:rsidRPr="00730E73">
        <w:rPr>
          <w:rFonts w:ascii="Times New Roman" w:hAnsi="Times New Roman" w:cs="Times New Roman"/>
          <w:b/>
          <w:sz w:val="28"/>
          <w:szCs w:val="28"/>
        </w:rPr>
        <w:t>передача в безвозмездное пользование и т.п.)?</w:t>
      </w:r>
    </w:p>
    <w:p w:rsidR="00730E73" w:rsidRPr="00730E73" w:rsidRDefault="00D4485F" w:rsidP="00730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7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730E73" w:rsidRPr="00730E73">
        <w:rPr>
          <w:rFonts w:ascii="Times New Roman" w:hAnsi="Times New Roman" w:cs="Times New Roman"/>
          <w:sz w:val="28"/>
          <w:szCs w:val="28"/>
        </w:rPr>
        <w:t xml:space="preserve">Снижение спроса на объекты муниципального имущества связано в связи со сложившейся экономической обстановкой в Российской </w:t>
      </w:r>
      <w:r w:rsidR="005F3A71">
        <w:rPr>
          <w:rFonts w:ascii="Times New Roman" w:hAnsi="Times New Roman" w:cs="Times New Roman"/>
          <w:sz w:val="28"/>
          <w:szCs w:val="28"/>
        </w:rPr>
        <w:t xml:space="preserve"> Ф</w:t>
      </w:r>
      <w:bookmarkStart w:id="0" w:name="_GoBack"/>
      <w:bookmarkEnd w:id="0"/>
      <w:r w:rsidR="00730E73" w:rsidRPr="00730E73">
        <w:rPr>
          <w:rFonts w:ascii="Times New Roman" w:hAnsi="Times New Roman" w:cs="Times New Roman"/>
          <w:sz w:val="28"/>
          <w:szCs w:val="28"/>
        </w:rPr>
        <w:t>едерации. В случае</w:t>
      </w:r>
      <w:r w:rsidR="00716CFE">
        <w:rPr>
          <w:rFonts w:ascii="Times New Roman" w:hAnsi="Times New Roman" w:cs="Times New Roman"/>
          <w:sz w:val="28"/>
          <w:szCs w:val="28"/>
        </w:rPr>
        <w:t>,</w:t>
      </w:r>
      <w:r w:rsidR="00730E73" w:rsidRPr="00730E73">
        <w:rPr>
          <w:rFonts w:ascii="Times New Roman" w:hAnsi="Times New Roman" w:cs="Times New Roman"/>
          <w:sz w:val="28"/>
          <w:szCs w:val="28"/>
        </w:rPr>
        <w:t xml:space="preserve"> когда аукцион признан несостоявшимся по причине отсутствия заявок, в рамках действующего законодательства применяется способ приватизации, предусматривающий пошаговое снижение цены до 50% от цены первоначального предложения (публичное предложение). Кроме того, в случае отсутствия спроса на приватизацию муниципального имущества, принимаются решения о продаже права аренды на свободные от прав третьих лиц муниципальные помещения.</w:t>
      </w:r>
    </w:p>
    <w:p w:rsidR="00F15A29" w:rsidRPr="00F15A29" w:rsidRDefault="00F15A29" w:rsidP="00F15A2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A29">
        <w:rPr>
          <w:rFonts w:ascii="Times New Roman" w:eastAsia="Calibri" w:hAnsi="Times New Roman" w:cs="Times New Roman"/>
          <w:b/>
          <w:sz w:val="28"/>
          <w:szCs w:val="28"/>
        </w:rPr>
        <w:t>Вопрос по программе улучшения жилищных условий граждан г. Тольятти с использованием ипотечного кредитования на 2002-2015гг. Мы прекратили выдавать кредиты с 2011года. Сколько денег получили? Как будет решаться вопрос в связи с отзывом лицензии у ЗАО «Фиа-БАНКа» так как банк не функционирует, какая сумма возврата и когда она поступит</w:t>
      </w:r>
      <w:r w:rsidR="009258E0">
        <w:rPr>
          <w:rFonts w:ascii="Times New Roman" w:eastAsia="Calibri" w:hAnsi="Times New Roman" w:cs="Times New Roman"/>
          <w:b/>
          <w:sz w:val="28"/>
          <w:szCs w:val="28"/>
        </w:rPr>
        <w:t>?</w:t>
      </w:r>
      <w:r w:rsidRPr="00F15A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0E73" w:rsidRPr="00730E73" w:rsidRDefault="00730E73" w:rsidP="0073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Ответ: </w:t>
      </w: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мэрией городского округа Тольятти и АО «ФИА БАНК» было заключено 4 договора о предоставлении бюджетного кредита: № 235 от 03.09.2001г., № 340 от 31.07.2003г., № 510 от 05.12.2003г., № 562 от 24.12.2004г. на общую сумму 24 138 тыс. руб.</w:t>
      </w:r>
    </w:p>
    <w:p w:rsidR="00730E73" w:rsidRPr="00730E73" w:rsidRDefault="00730E73" w:rsidP="007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ипотечные жилищные кредиты в рамках Программы улучшения жилищных условий граждан г. Тольятти были выданы в декабре 2011 года. Начиная с января 2012 года АО «ФИА БАНК» (банк-агент) начал возврат предоставленных бюджетных кредитов (ежеквартальные платежи). </w:t>
      </w:r>
    </w:p>
    <w:p w:rsidR="00730E73" w:rsidRPr="00730E73" w:rsidRDefault="00730E73" w:rsidP="00716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08.04.2016г. (дата отзыва лицензии АО «ФИА БАНК») задолженность банка перед мэрией городского округа Тольятти по договорам о предоставлении бюджетного кредита составляет 13 276 134,06 руб.:</w:t>
      </w:r>
    </w:p>
    <w:p w:rsidR="00730E73" w:rsidRPr="00730E73" w:rsidRDefault="00730E73" w:rsidP="009258E0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 235 от 03.09.2001г. – 5 500 000 руб.;</w:t>
      </w:r>
    </w:p>
    <w:p w:rsidR="00730E73" w:rsidRPr="00730E73" w:rsidRDefault="00730E73" w:rsidP="00730E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 340 от 31.07.2003г. – 2 276 134,06 руб.;</w:t>
      </w:r>
    </w:p>
    <w:p w:rsidR="00730E73" w:rsidRPr="00730E73" w:rsidRDefault="00730E73" w:rsidP="00730E7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 510 от 05.12.2003г. – 2 750 000 руб.;</w:t>
      </w:r>
    </w:p>
    <w:p w:rsidR="00730E73" w:rsidRPr="00730E73" w:rsidRDefault="00730E73" w:rsidP="009258E0">
      <w:pPr>
        <w:numPr>
          <w:ilvl w:val="0"/>
          <w:numId w:val="4"/>
        </w:numPr>
        <w:tabs>
          <w:tab w:val="clear" w:pos="107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 562 от 24.12.2004г. – 2 750 000 руб.</w:t>
      </w:r>
    </w:p>
    <w:p w:rsidR="00730E73" w:rsidRPr="00730E73" w:rsidRDefault="00730E73" w:rsidP="0073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Мэрией городского округа Тольятти было подано требование в адрес временной администрации по управлению АО «ФИА-БАНК» о включении в реестр требований кредиторов суммы в размере 13 276 134,06 руб.</w:t>
      </w:r>
    </w:p>
    <w:p w:rsidR="00730E73" w:rsidRPr="00730E73" w:rsidRDefault="00730E73" w:rsidP="00730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требования мэрии включены в реестр кредиторов  в сумме 13 276 134,06 руб.</w:t>
      </w:r>
    </w:p>
    <w:p w:rsidR="00730E73" w:rsidRDefault="00730E73" w:rsidP="00730E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E73" w:rsidRPr="00730E73" w:rsidRDefault="00730E73" w:rsidP="00730E7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73">
        <w:rPr>
          <w:rFonts w:ascii="Times New Roman" w:hAnsi="Times New Roman" w:cs="Times New Roman"/>
          <w:b/>
          <w:sz w:val="28"/>
          <w:szCs w:val="28"/>
        </w:rPr>
        <w:t xml:space="preserve">Причины низкого освоения бюджетных средств Департаментом общественной безопасности на реализацию МП «Обеспечение пожарной безопасности на объектах муниципальной собственности городского округа Тольятти на </w:t>
      </w:r>
      <w:r w:rsidR="00C411DC">
        <w:rPr>
          <w:rFonts w:ascii="Times New Roman" w:hAnsi="Times New Roman" w:cs="Times New Roman"/>
          <w:b/>
          <w:sz w:val="28"/>
          <w:szCs w:val="28"/>
        </w:rPr>
        <w:t>2014-2016гг.» и почему средства не были перераспределены на иные цели?</w:t>
      </w:r>
    </w:p>
    <w:p w:rsidR="000208AD" w:rsidRPr="00482443" w:rsidRDefault="00730E73" w:rsidP="009258E0">
      <w:pPr>
        <w:pStyle w:val="a6"/>
        <w:spacing w:before="120"/>
        <w:ind w:firstLine="720"/>
        <w:jc w:val="both"/>
        <w:rPr>
          <w:b w:val="0"/>
          <w:sz w:val="28"/>
          <w:szCs w:val="28"/>
        </w:rPr>
      </w:pPr>
      <w:r w:rsidRPr="000208AD">
        <w:rPr>
          <w:sz w:val="28"/>
          <w:szCs w:val="28"/>
        </w:rPr>
        <w:t>Ответ:</w:t>
      </w:r>
      <w:r w:rsidR="000208AD" w:rsidRPr="000208AD">
        <w:rPr>
          <w:sz w:val="28"/>
          <w:szCs w:val="28"/>
        </w:rPr>
        <w:t xml:space="preserve"> </w:t>
      </w:r>
      <w:r w:rsidR="000208AD" w:rsidRPr="00482443">
        <w:rPr>
          <w:b w:val="0"/>
          <w:sz w:val="28"/>
          <w:szCs w:val="28"/>
        </w:rPr>
        <w:t>По МП «Обеспечение пожарной безопасности на объектах муниципальной собственности городского округа Тольятти на 2014-2016гг.» утверждены расходы на общую сумму 950 тыс</w:t>
      </w:r>
      <w:r w:rsidR="008A5B57" w:rsidRPr="00482443">
        <w:rPr>
          <w:b w:val="0"/>
          <w:sz w:val="28"/>
          <w:szCs w:val="28"/>
        </w:rPr>
        <w:t>. р</w:t>
      </w:r>
      <w:r w:rsidR="000208AD" w:rsidRPr="00482443">
        <w:rPr>
          <w:b w:val="0"/>
          <w:sz w:val="28"/>
          <w:szCs w:val="28"/>
        </w:rPr>
        <w:t>уб. За отчетный период реализованы мероприятия на общую сумму 591 тыс</w:t>
      </w:r>
      <w:r w:rsidR="008A5B57" w:rsidRPr="00482443">
        <w:rPr>
          <w:b w:val="0"/>
          <w:sz w:val="28"/>
          <w:szCs w:val="28"/>
        </w:rPr>
        <w:t>. р</w:t>
      </w:r>
      <w:r w:rsidR="000208AD" w:rsidRPr="00482443">
        <w:rPr>
          <w:b w:val="0"/>
          <w:sz w:val="28"/>
          <w:szCs w:val="28"/>
        </w:rPr>
        <w:t>уб., в том числе:</w:t>
      </w:r>
    </w:p>
    <w:p w:rsidR="000208AD" w:rsidRPr="00482443" w:rsidRDefault="000208AD" w:rsidP="009258E0">
      <w:pPr>
        <w:pStyle w:val="a6"/>
        <w:ind w:firstLine="720"/>
        <w:jc w:val="both"/>
        <w:rPr>
          <w:b w:val="0"/>
          <w:bCs/>
          <w:sz w:val="28"/>
          <w:szCs w:val="28"/>
        </w:rPr>
      </w:pPr>
      <w:r w:rsidRPr="00482443">
        <w:rPr>
          <w:b w:val="0"/>
          <w:sz w:val="28"/>
          <w:szCs w:val="28"/>
        </w:rPr>
        <w:t>-</w:t>
      </w:r>
      <w:r w:rsidRPr="00482443">
        <w:rPr>
          <w:b w:val="0"/>
          <w:bCs/>
          <w:sz w:val="28"/>
          <w:szCs w:val="28"/>
        </w:rPr>
        <w:t xml:space="preserve"> замена электропроводки (МКУ «ЦГЗ г.о. Тольятти») – 399 тыс</w:t>
      </w:r>
      <w:r w:rsidR="008A5B57" w:rsidRPr="00482443">
        <w:rPr>
          <w:b w:val="0"/>
          <w:bCs/>
          <w:sz w:val="28"/>
          <w:szCs w:val="28"/>
        </w:rPr>
        <w:t>. р</w:t>
      </w:r>
      <w:r w:rsidRPr="00482443">
        <w:rPr>
          <w:b w:val="0"/>
          <w:bCs/>
          <w:sz w:val="28"/>
          <w:szCs w:val="28"/>
        </w:rPr>
        <w:t>уб.;</w:t>
      </w:r>
    </w:p>
    <w:p w:rsidR="000208AD" w:rsidRPr="00482443" w:rsidRDefault="000208AD" w:rsidP="009258E0">
      <w:pPr>
        <w:pStyle w:val="a6"/>
        <w:ind w:firstLine="720"/>
        <w:jc w:val="both"/>
        <w:rPr>
          <w:b w:val="0"/>
          <w:sz w:val="28"/>
          <w:szCs w:val="28"/>
        </w:rPr>
      </w:pPr>
      <w:r w:rsidRPr="00482443">
        <w:rPr>
          <w:b w:val="0"/>
          <w:bCs/>
          <w:sz w:val="28"/>
          <w:szCs w:val="28"/>
        </w:rPr>
        <w:t xml:space="preserve">- </w:t>
      </w:r>
      <w:r w:rsidRPr="00482443">
        <w:rPr>
          <w:b w:val="0"/>
          <w:sz w:val="28"/>
          <w:szCs w:val="28"/>
        </w:rPr>
        <w:t>установка противопожарных сертифицированных дверей (5 шт.) (МКУ «ООП») – 93 тыс</w:t>
      </w:r>
      <w:r w:rsidR="008A5B57" w:rsidRPr="00482443">
        <w:rPr>
          <w:b w:val="0"/>
          <w:sz w:val="28"/>
          <w:szCs w:val="28"/>
        </w:rPr>
        <w:t>. р</w:t>
      </w:r>
      <w:r w:rsidRPr="00482443">
        <w:rPr>
          <w:b w:val="0"/>
          <w:sz w:val="28"/>
          <w:szCs w:val="28"/>
        </w:rPr>
        <w:t>уб.,</w:t>
      </w:r>
    </w:p>
    <w:p w:rsidR="000208AD" w:rsidRPr="00482443" w:rsidRDefault="000208AD" w:rsidP="009258E0">
      <w:pPr>
        <w:pStyle w:val="a6"/>
        <w:ind w:firstLine="720"/>
        <w:jc w:val="both"/>
        <w:rPr>
          <w:b w:val="0"/>
          <w:sz w:val="28"/>
          <w:szCs w:val="28"/>
        </w:rPr>
      </w:pPr>
      <w:r w:rsidRPr="00482443">
        <w:rPr>
          <w:b w:val="0"/>
          <w:sz w:val="28"/>
          <w:szCs w:val="28"/>
        </w:rPr>
        <w:t>- ремонт автоматической пожарной сигнализации (МБОУ ДПО «Курсы ГО г.о. Тольятти») – 99 тыс</w:t>
      </w:r>
      <w:r w:rsidR="008A5B57" w:rsidRPr="00482443">
        <w:rPr>
          <w:b w:val="0"/>
          <w:sz w:val="28"/>
          <w:szCs w:val="28"/>
        </w:rPr>
        <w:t>. р</w:t>
      </w:r>
      <w:r w:rsidRPr="00482443">
        <w:rPr>
          <w:b w:val="0"/>
          <w:sz w:val="28"/>
          <w:szCs w:val="28"/>
        </w:rPr>
        <w:t>уб.</w:t>
      </w:r>
    </w:p>
    <w:p w:rsidR="000208AD" w:rsidRDefault="000208AD" w:rsidP="009258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7E2AEF">
        <w:rPr>
          <w:rFonts w:ascii="Times New Roman" w:hAnsi="Times New Roman"/>
          <w:sz w:val="28"/>
          <w:szCs w:val="28"/>
        </w:rPr>
        <w:t>Неисполнение в сумме 359 тыс</w:t>
      </w:r>
      <w:r w:rsidR="008A5B57" w:rsidRPr="007E2AEF">
        <w:rPr>
          <w:rFonts w:ascii="Times New Roman" w:hAnsi="Times New Roman"/>
          <w:sz w:val="28"/>
          <w:szCs w:val="28"/>
        </w:rPr>
        <w:t>. р</w:t>
      </w:r>
      <w:r w:rsidRPr="007E2AEF">
        <w:rPr>
          <w:rFonts w:ascii="Times New Roman" w:hAnsi="Times New Roman"/>
          <w:sz w:val="28"/>
          <w:szCs w:val="28"/>
        </w:rPr>
        <w:t xml:space="preserve">уб. сложилось по </w:t>
      </w:r>
      <w:r w:rsidRPr="007E2AEF">
        <w:rPr>
          <w:rFonts w:ascii="Times New Roman" w:hAnsi="Times New Roman"/>
          <w:bCs/>
          <w:sz w:val="28"/>
          <w:szCs w:val="28"/>
        </w:rPr>
        <w:t xml:space="preserve">МКУ «ЦГЗ г.о. Тольятти» и </w:t>
      </w:r>
      <w:r w:rsidRPr="007E2AEF">
        <w:rPr>
          <w:rFonts w:ascii="Times New Roman" w:hAnsi="Times New Roman"/>
          <w:sz w:val="28"/>
          <w:szCs w:val="28"/>
        </w:rPr>
        <w:t>обусловлено необходимостью сбалансированности исполнения бюджета городского округа Тольятти в 2016 году.</w:t>
      </w:r>
      <w:r w:rsidR="001C3D8A">
        <w:rPr>
          <w:rFonts w:ascii="Times New Roman" w:hAnsi="Times New Roman"/>
          <w:sz w:val="28"/>
          <w:szCs w:val="28"/>
        </w:rPr>
        <w:t xml:space="preserve"> В условиях снижения поступлений налоговых и неналоговых доходов бюджета г.о. Тольятти запланированные мероприятия МКУ «Центр гражданской защиты г.о. Тольятти» были отнесены к 3 группе приоритетности, в связи с чем, перераспределение денежных средств на иные цели не представлялось возможным. </w:t>
      </w:r>
    </w:p>
    <w:p w:rsidR="00400875" w:rsidRDefault="00400875" w:rsidP="009258E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875" w:rsidRDefault="00400875" w:rsidP="009258E0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0875">
        <w:rPr>
          <w:rFonts w:ascii="Times New Roman" w:hAnsi="Times New Roman"/>
          <w:b/>
          <w:sz w:val="28"/>
          <w:szCs w:val="28"/>
        </w:rPr>
        <w:t>Поддержка и финансирование ветеранов спорта в г</w:t>
      </w:r>
      <w:r w:rsidR="00314DAE">
        <w:rPr>
          <w:rFonts w:ascii="Times New Roman" w:hAnsi="Times New Roman"/>
          <w:b/>
          <w:sz w:val="28"/>
          <w:szCs w:val="28"/>
        </w:rPr>
        <w:t>ородском округе</w:t>
      </w:r>
      <w:r w:rsidRPr="00400875">
        <w:rPr>
          <w:rFonts w:ascii="Times New Roman" w:hAnsi="Times New Roman"/>
          <w:b/>
          <w:sz w:val="28"/>
          <w:szCs w:val="28"/>
        </w:rPr>
        <w:t xml:space="preserve"> Тольятти</w:t>
      </w:r>
      <w:r w:rsidR="009258E0">
        <w:rPr>
          <w:rFonts w:ascii="Times New Roman" w:hAnsi="Times New Roman"/>
          <w:b/>
          <w:sz w:val="28"/>
          <w:szCs w:val="28"/>
        </w:rPr>
        <w:t>?</w:t>
      </w:r>
    </w:p>
    <w:p w:rsidR="00EF0BD2" w:rsidRDefault="00EF0BD2" w:rsidP="00925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BD2">
        <w:rPr>
          <w:rFonts w:ascii="Times New Roman" w:hAnsi="Times New Roman" w:cs="Times New Roman"/>
          <w:b/>
          <w:sz w:val="28"/>
          <w:szCs w:val="28"/>
        </w:rPr>
        <w:t>Ответ:</w:t>
      </w:r>
      <w:r w:rsidRPr="00EF0BD2">
        <w:rPr>
          <w:rFonts w:ascii="Times New Roman" w:hAnsi="Times New Roman" w:cs="Times New Roman"/>
          <w:sz w:val="28"/>
          <w:szCs w:val="28"/>
        </w:rPr>
        <w:t xml:space="preserve"> Надбавка к пенсии ветеранам спорта в 2016 году была предусмотрена в Муниципальной программе по созданию условий для улучшения качества жизни жителей городского округа Тольятти и обеспечения социальной стабильности на 2014-2016 годы, утвержденной постановлением мэрии городского округа Тольятти №3177-п/1 от 14.10.2013 в п. 5.3. «Ежемесячные денежные выплаты спортсменам высокого класса, тренерам, подготовившим спортсменов высокого класса, бывшим работникам физкультурно-спортивных организаций» в сумме 930 тыс</w:t>
      </w:r>
      <w:r w:rsidR="008A5B57" w:rsidRPr="00EF0BD2">
        <w:rPr>
          <w:rFonts w:ascii="Times New Roman" w:hAnsi="Times New Roman" w:cs="Times New Roman"/>
          <w:sz w:val="28"/>
          <w:szCs w:val="28"/>
        </w:rPr>
        <w:t>. р</w:t>
      </w:r>
      <w:r w:rsidRPr="00EF0BD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EF0BD2" w:rsidRPr="00EF0BD2" w:rsidRDefault="00EF0BD2" w:rsidP="00925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BD2">
        <w:rPr>
          <w:rFonts w:ascii="Times New Roman" w:hAnsi="Times New Roman" w:cs="Times New Roman"/>
          <w:sz w:val="28"/>
          <w:szCs w:val="28"/>
        </w:rPr>
        <w:t>Выплаты произведены в размере 923 тыс</w:t>
      </w:r>
      <w:r w:rsidR="008A5B57" w:rsidRPr="00EF0BD2">
        <w:rPr>
          <w:rFonts w:ascii="Times New Roman" w:hAnsi="Times New Roman" w:cs="Times New Roman"/>
          <w:sz w:val="28"/>
          <w:szCs w:val="28"/>
        </w:rPr>
        <w:t>. р</w:t>
      </w:r>
      <w:r w:rsidRPr="00EF0BD2">
        <w:rPr>
          <w:rFonts w:ascii="Times New Roman" w:hAnsi="Times New Roman" w:cs="Times New Roman"/>
          <w:sz w:val="28"/>
          <w:szCs w:val="28"/>
        </w:rPr>
        <w:t>уб. среднемесячное количество получателей составило 55 человек. В 2017 году на данную выплату в бюджете предусмотрено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BD2">
        <w:rPr>
          <w:rFonts w:ascii="Times New Roman" w:hAnsi="Times New Roman" w:cs="Times New Roman"/>
          <w:sz w:val="28"/>
          <w:szCs w:val="28"/>
        </w:rPr>
        <w:t>068 тыс</w:t>
      </w:r>
      <w:r w:rsidR="008A5B57" w:rsidRPr="00EF0BD2">
        <w:rPr>
          <w:rFonts w:ascii="Times New Roman" w:hAnsi="Times New Roman" w:cs="Times New Roman"/>
          <w:sz w:val="28"/>
          <w:szCs w:val="28"/>
        </w:rPr>
        <w:t>. р</w:t>
      </w:r>
      <w:r w:rsidRPr="00EF0BD2">
        <w:rPr>
          <w:rFonts w:ascii="Times New Roman" w:hAnsi="Times New Roman" w:cs="Times New Roman"/>
          <w:sz w:val="28"/>
          <w:szCs w:val="28"/>
        </w:rPr>
        <w:t>уб. на 65 человек.</w:t>
      </w:r>
    </w:p>
    <w:p w:rsidR="00EF0BD2" w:rsidRDefault="00EF0BD2" w:rsidP="009258E0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0BD2" w:rsidRDefault="00EF0BD2" w:rsidP="009258E0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0875">
        <w:rPr>
          <w:rFonts w:ascii="Times New Roman" w:hAnsi="Times New Roman"/>
          <w:b/>
          <w:sz w:val="28"/>
          <w:szCs w:val="28"/>
        </w:rPr>
        <w:t>Финансирование расходов на развитие бокса в г</w:t>
      </w:r>
      <w:r w:rsidR="00A706AD">
        <w:rPr>
          <w:rFonts w:ascii="Times New Roman" w:hAnsi="Times New Roman"/>
          <w:b/>
          <w:sz w:val="28"/>
          <w:szCs w:val="28"/>
        </w:rPr>
        <w:t xml:space="preserve">ородском </w:t>
      </w:r>
      <w:r w:rsidRPr="00400875">
        <w:rPr>
          <w:rFonts w:ascii="Times New Roman" w:hAnsi="Times New Roman"/>
          <w:b/>
          <w:sz w:val="28"/>
          <w:szCs w:val="28"/>
        </w:rPr>
        <w:t>о</w:t>
      </w:r>
      <w:r w:rsidR="00A706AD">
        <w:rPr>
          <w:rFonts w:ascii="Times New Roman" w:hAnsi="Times New Roman"/>
          <w:b/>
          <w:sz w:val="28"/>
          <w:szCs w:val="28"/>
        </w:rPr>
        <w:t>круге</w:t>
      </w:r>
      <w:r w:rsidRPr="00400875">
        <w:rPr>
          <w:rFonts w:ascii="Times New Roman" w:hAnsi="Times New Roman"/>
          <w:b/>
          <w:sz w:val="28"/>
          <w:szCs w:val="28"/>
        </w:rPr>
        <w:t xml:space="preserve"> Тольятти</w:t>
      </w:r>
      <w:r w:rsidR="0065060A">
        <w:rPr>
          <w:rFonts w:ascii="Times New Roman" w:hAnsi="Times New Roman"/>
          <w:b/>
          <w:sz w:val="28"/>
          <w:szCs w:val="28"/>
        </w:rPr>
        <w:t>?</w:t>
      </w:r>
    </w:p>
    <w:p w:rsidR="00EE0351" w:rsidRPr="00EE0351" w:rsidRDefault="0065060A" w:rsidP="009258E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 w:rsidR="00EE0351"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Управлением </w:t>
      </w:r>
      <w:r w:rsidR="00EE0351"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физической культуры и спорта</w:t>
      </w:r>
      <w:r w:rsidR="00EE0351"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поддержки АНО Спортивному Клубу «Гонг» не оказывалось, данная организация не является исполнителем программных мероприятий и не включена ни в одну из программ отрасли «Физическая культура и спорт».</w:t>
      </w:r>
    </w:p>
    <w:p w:rsidR="00EE0351" w:rsidRPr="00EE0351" w:rsidRDefault="00EE0351" w:rsidP="00925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решения вопросов местного значения по 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обеспечению условий для развития на территории городского округа массовой физической 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культуры и спорта, в соответствии с Федеральным законом РФ №</w:t>
      </w: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>329-ФЗ</w:t>
      </w:r>
      <w:r w:rsidRPr="00EE0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03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физической культуре и спорте</w:t>
      </w:r>
      <w:r w:rsidRPr="00EE0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городском округе Тольятти функционируют 14 муниципальных спортивных школ – МБУДО СДЮСШОР и КСДЮСШОР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чреждения), которые находятся в ведомственном подчинении Управления физической культуры и спорта.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чреждениях за счет средств бюджета занимаются по различным видам спорта 14 951 учащихся.  </w:t>
      </w:r>
    </w:p>
    <w:p w:rsidR="00EE0351" w:rsidRPr="00EE0351" w:rsidRDefault="00EE0351" w:rsidP="00925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вида спорта «Бокс» осуществляет МБУДО СДЮСШОР № 11 «Бокс»</w:t>
      </w:r>
      <w:r w:rsidRPr="00EE0351">
        <w:rPr>
          <w:rFonts w:ascii="Arial Unicode MS" w:eastAsia="Times New Roman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(директор – Гончаров В.А.), в котором, в соответствии с муниципальным заданием, занимаются 690 обучающихся. З</w:t>
      </w: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проводятся в трех районах города под руководством 20 тренеров-преподавателей.</w:t>
      </w:r>
    </w:p>
    <w:p w:rsidR="00EE0351" w:rsidRPr="00EE0351" w:rsidRDefault="00EE0351" w:rsidP="00925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боксеров </w:t>
      </w:r>
      <w:r w:rsidRPr="00EE0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СДЮСШОР № 11 «Бокс» совместно с городской федерацией бокса организует ежегодное проведение 10 спортивных мероприятий по виду спорта, на которых спортсмены и судьи повышают свою квалификацию, осуществляется отбор лучших боксеров на вышестоящие соревнования.</w:t>
      </w:r>
    </w:p>
    <w:p w:rsidR="0065060A" w:rsidRPr="00400875" w:rsidRDefault="0065060A" w:rsidP="009258E0">
      <w:pPr>
        <w:pStyle w:val="a8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C411DC" w:rsidRPr="003F6923" w:rsidRDefault="00C411DC" w:rsidP="009258E0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F6923">
        <w:rPr>
          <w:rFonts w:ascii="Times New Roman" w:hAnsi="Times New Roman"/>
          <w:b/>
          <w:sz w:val="28"/>
          <w:szCs w:val="28"/>
        </w:rPr>
        <w:t xml:space="preserve">Полностью ли завершены </w:t>
      </w:r>
      <w:r w:rsidR="00234B68" w:rsidRPr="003F6923">
        <w:rPr>
          <w:rFonts w:ascii="Times New Roman" w:hAnsi="Times New Roman"/>
          <w:b/>
          <w:sz w:val="28"/>
          <w:szCs w:val="28"/>
        </w:rPr>
        <w:t>и оплачены мероприятия по ремонту внутриквартальных проездов к МКД в рамках подпрограммы «Модернизация и развитие автомобильных дорог общего пользования местного значения городского округа Тольятти на 2014-2020 годы»?</w:t>
      </w:r>
    </w:p>
    <w:p w:rsidR="003F6923" w:rsidRPr="003F6923" w:rsidRDefault="0065060A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hAnsi="Times New Roman"/>
          <w:b/>
          <w:sz w:val="28"/>
          <w:szCs w:val="28"/>
        </w:rPr>
        <w:t>Ответ: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 на ремонт внутриквартальных проездов к многоквартирным домам в рамках подпрограммы «Модернизация и развитие автомобильных дорог общего пользования местного значения городского округа Тольятти на 2014-2020 годы» были предусмотрены бюджетные ассигнования в сумме 354</w:t>
      </w:r>
      <w:r w:rsidR="00AF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001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в том числе средства областного дорожного фонда 33</w:t>
      </w:r>
      <w:r w:rsidR="00AF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5237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средства бюджета городского округа Тольятти – 18 764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F6923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запланированных к выполнению в 2016 году на 141 объектах работы выполнены на 133 объектах  (отремонтировано 263,8 тыс. м2); не принято актов на 5 объектах; подрядчик не приступал к работе на  3 объектах, в том числе: 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Автозаводский район – из 65 объектов выполнено и принято 59 объектов;  не приняли – 4; не приступали – 2.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Центральный район – из 44 объектов выполнено 42 объекта; не принят – 1; не приступали – 1.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Комсомольский район – из 32 объектов – приняты и выполнены все.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выполненных работ составило 150 650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в том числе за счет областных средств 133 858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3F6923" w:rsidRPr="003F6923" w:rsidRDefault="003F6923" w:rsidP="00925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транспорта и автомобильных дорог Самарской области не были подписаны акты выполненных работ на сумму 166 182 тыс</w:t>
      </w:r>
      <w:r w:rsidR="008A5B57"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3F6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(по 76 объектам). Основанием для непринятия актов выполненных работ  явились результаты проведенных министерством лабораторных испытаний проб дорожного покрытия на соответствие действующим нормативным требованиям. </w:t>
      </w:r>
    </w:p>
    <w:p w:rsidR="0065060A" w:rsidRPr="00400875" w:rsidRDefault="0065060A" w:rsidP="009258E0">
      <w:pPr>
        <w:pStyle w:val="a8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5060A" w:rsidRPr="00400875" w:rsidSect="009258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AF2"/>
    <w:multiLevelType w:val="hybridMultilevel"/>
    <w:tmpl w:val="FB56C800"/>
    <w:lvl w:ilvl="0" w:tplc="10DC3D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84023"/>
    <w:multiLevelType w:val="hybridMultilevel"/>
    <w:tmpl w:val="B590D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2D1F"/>
    <w:multiLevelType w:val="hybridMultilevel"/>
    <w:tmpl w:val="9C3C56B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E2369AE"/>
    <w:multiLevelType w:val="hybridMultilevel"/>
    <w:tmpl w:val="1CB6F290"/>
    <w:lvl w:ilvl="0" w:tplc="10DC3D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C0CA9"/>
    <w:multiLevelType w:val="hybridMultilevel"/>
    <w:tmpl w:val="56EAC934"/>
    <w:lvl w:ilvl="0" w:tplc="8370CEC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F45"/>
    <w:rsid w:val="000057DC"/>
    <w:rsid w:val="000175CB"/>
    <w:rsid w:val="000208AD"/>
    <w:rsid w:val="00032C95"/>
    <w:rsid w:val="00036123"/>
    <w:rsid w:val="00064F82"/>
    <w:rsid w:val="00095A19"/>
    <w:rsid w:val="000A7D7E"/>
    <w:rsid w:val="000B35C9"/>
    <w:rsid w:val="000D2641"/>
    <w:rsid w:val="000D74F7"/>
    <w:rsid w:val="0011772B"/>
    <w:rsid w:val="00135A0D"/>
    <w:rsid w:val="00136887"/>
    <w:rsid w:val="00142683"/>
    <w:rsid w:val="00181FA6"/>
    <w:rsid w:val="001827F9"/>
    <w:rsid w:val="001865D5"/>
    <w:rsid w:val="001C359C"/>
    <w:rsid w:val="001C3D8A"/>
    <w:rsid w:val="001C5C15"/>
    <w:rsid w:val="001E70ED"/>
    <w:rsid w:val="00234B68"/>
    <w:rsid w:val="0024301D"/>
    <w:rsid w:val="00247311"/>
    <w:rsid w:val="002E562C"/>
    <w:rsid w:val="002F365F"/>
    <w:rsid w:val="003014D7"/>
    <w:rsid w:val="00310BC4"/>
    <w:rsid w:val="00314DAE"/>
    <w:rsid w:val="00322E4A"/>
    <w:rsid w:val="00327C80"/>
    <w:rsid w:val="00346EEF"/>
    <w:rsid w:val="003515CB"/>
    <w:rsid w:val="00354528"/>
    <w:rsid w:val="0035773F"/>
    <w:rsid w:val="00362ED1"/>
    <w:rsid w:val="003C2085"/>
    <w:rsid w:val="003F6923"/>
    <w:rsid w:val="00400875"/>
    <w:rsid w:val="00407374"/>
    <w:rsid w:val="00413C51"/>
    <w:rsid w:val="00421694"/>
    <w:rsid w:val="00433DCF"/>
    <w:rsid w:val="00454B46"/>
    <w:rsid w:val="00456E9E"/>
    <w:rsid w:val="00496A2B"/>
    <w:rsid w:val="004B3D0D"/>
    <w:rsid w:val="00510468"/>
    <w:rsid w:val="00512D27"/>
    <w:rsid w:val="00515A28"/>
    <w:rsid w:val="005643FB"/>
    <w:rsid w:val="005D4B78"/>
    <w:rsid w:val="005E50E1"/>
    <w:rsid w:val="005F3A71"/>
    <w:rsid w:val="005F4532"/>
    <w:rsid w:val="00612887"/>
    <w:rsid w:val="0065060A"/>
    <w:rsid w:val="00664710"/>
    <w:rsid w:val="006B1CD2"/>
    <w:rsid w:val="006B42FE"/>
    <w:rsid w:val="006C39EA"/>
    <w:rsid w:val="006D0529"/>
    <w:rsid w:val="006D491F"/>
    <w:rsid w:val="006F3841"/>
    <w:rsid w:val="00716CFE"/>
    <w:rsid w:val="00717D91"/>
    <w:rsid w:val="00727B5F"/>
    <w:rsid w:val="00730E73"/>
    <w:rsid w:val="007326A1"/>
    <w:rsid w:val="00785E0C"/>
    <w:rsid w:val="00794AD0"/>
    <w:rsid w:val="007B155B"/>
    <w:rsid w:val="007B39C1"/>
    <w:rsid w:val="007C682E"/>
    <w:rsid w:val="007D0E70"/>
    <w:rsid w:val="007D3858"/>
    <w:rsid w:val="007E64FE"/>
    <w:rsid w:val="007F75A7"/>
    <w:rsid w:val="00830084"/>
    <w:rsid w:val="0088119E"/>
    <w:rsid w:val="008A5B57"/>
    <w:rsid w:val="008B1C86"/>
    <w:rsid w:val="008B6C35"/>
    <w:rsid w:val="008B7F3D"/>
    <w:rsid w:val="008D1958"/>
    <w:rsid w:val="008D3AE0"/>
    <w:rsid w:val="008E782E"/>
    <w:rsid w:val="00915992"/>
    <w:rsid w:val="009258E0"/>
    <w:rsid w:val="00936DFC"/>
    <w:rsid w:val="0094714B"/>
    <w:rsid w:val="009A753B"/>
    <w:rsid w:val="009B5B69"/>
    <w:rsid w:val="009C411A"/>
    <w:rsid w:val="009D25CC"/>
    <w:rsid w:val="00A11DC8"/>
    <w:rsid w:val="00A23980"/>
    <w:rsid w:val="00A410D2"/>
    <w:rsid w:val="00A706AD"/>
    <w:rsid w:val="00A7478A"/>
    <w:rsid w:val="00A9213C"/>
    <w:rsid w:val="00AA1136"/>
    <w:rsid w:val="00AA19A4"/>
    <w:rsid w:val="00AA43D8"/>
    <w:rsid w:val="00AA6AA0"/>
    <w:rsid w:val="00AB681A"/>
    <w:rsid w:val="00AC175B"/>
    <w:rsid w:val="00AC2081"/>
    <w:rsid w:val="00AF077F"/>
    <w:rsid w:val="00AF6CA0"/>
    <w:rsid w:val="00B02D8E"/>
    <w:rsid w:val="00B20983"/>
    <w:rsid w:val="00B5054B"/>
    <w:rsid w:val="00B614DC"/>
    <w:rsid w:val="00B633B9"/>
    <w:rsid w:val="00B65B34"/>
    <w:rsid w:val="00B80CED"/>
    <w:rsid w:val="00B86321"/>
    <w:rsid w:val="00BA517A"/>
    <w:rsid w:val="00BB52DE"/>
    <w:rsid w:val="00BD38A8"/>
    <w:rsid w:val="00BF37B4"/>
    <w:rsid w:val="00BF594D"/>
    <w:rsid w:val="00C0000C"/>
    <w:rsid w:val="00C30FB8"/>
    <w:rsid w:val="00C32502"/>
    <w:rsid w:val="00C3560E"/>
    <w:rsid w:val="00C366E7"/>
    <w:rsid w:val="00C411DC"/>
    <w:rsid w:val="00C56C17"/>
    <w:rsid w:val="00C803A7"/>
    <w:rsid w:val="00CC63B2"/>
    <w:rsid w:val="00CD2276"/>
    <w:rsid w:val="00D30153"/>
    <w:rsid w:val="00D41F03"/>
    <w:rsid w:val="00D4485F"/>
    <w:rsid w:val="00D55C25"/>
    <w:rsid w:val="00D578DF"/>
    <w:rsid w:val="00D607EA"/>
    <w:rsid w:val="00D702F2"/>
    <w:rsid w:val="00D71700"/>
    <w:rsid w:val="00DA1A24"/>
    <w:rsid w:val="00DB6C26"/>
    <w:rsid w:val="00DE18FC"/>
    <w:rsid w:val="00DE205E"/>
    <w:rsid w:val="00DF3A25"/>
    <w:rsid w:val="00DF4FD3"/>
    <w:rsid w:val="00E02C0D"/>
    <w:rsid w:val="00E41A74"/>
    <w:rsid w:val="00E47F45"/>
    <w:rsid w:val="00E66D2D"/>
    <w:rsid w:val="00E86EE0"/>
    <w:rsid w:val="00EA04E1"/>
    <w:rsid w:val="00EE0351"/>
    <w:rsid w:val="00EF0BD2"/>
    <w:rsid w:val="00F06A78"/>
    <w:rsid w:val="00F127E8"/>
    <w:rsid w:val="00F15A29"/>
    <w:rsid w:val="00F16853"/>
    <w:rsid w:val="00F54F82"/>
    <w:rsid w:val="00F80D94"/>
    <w:rsid w:val="00F8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6EE0"/>
    <w:rPr>
      <w:color w:val="0000FF"/>
      <w:u w:val="single"/>
    </w:rPr>
  </w:style>
  <w:style w:type="paragraph" w:customStyle="1" w:styleId="ConsPlusNormal">
    <w:name w:val="ConsPlusNormal"/>
    <w:rsid w:val="00B8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5643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643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56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70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0ED"/>
  </w:style>
  <w:style w:type="paragraph" w:styleId="a6">
    <w:name w:val="Title"/>
    <w:aliases w:val="Знак"/>
    <w:basedOn w:val="a"/>
    <w:link w:val="a7"/>
    <w:uiPriority w:val="99"/>
    <w:qFormat/>
    <w:rsid w:val="000208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aliases w:val="Знак Знак"/>
    <w:basedOn w:val="a0"/>
    <w:link w:val="a6"/>
    <w:uiPriority w:val="99"/>
    <w:rsid w:val="00020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208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0208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C2A6-8486-477A-B96A-9E6716BE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Н. Поручикова</dc:creator>
  <cp:lastModifiedBy>Архипова Елена Иннакентьевна</cp:lastModifiedBy>
  <cp:revision>75</cp:revision>
  <cp:lastPrinted>2016-03-25T05:39:00Z</cp:lastPrinted>
  <dcterms:created xsi:type="dcterms:W3CDTF">2016-03-24T11:06:00Z</dcterms:created>
  <dcterms:modified xsi:type="dcterms:W3CDTF">2017-04-10T12:39:00Z</dcterms:modified>
</cp:coreProperties>
</file>