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97" w:rsidRPr="00A77440" w:rsidRDefault="001E29E4" w:rsidP="00A81F97">
      <w:pPr>
        <w:jc w:val="center"/>
        <w:rPr>
          <w:b/>
        </w:rPr>
      </w:pPr>
      <w:r>
        <w:rPr>
          <w:b/>
        </w:rPr>
        <w:t>Ответы на вопросы, поступившие от общественного совета при Думе г.о. Тольятти к общественным обсуждениям</w:t>
      </w:r>
      <w:r w:rsidR="00C10CEA">
        <w:rPr>
          <w:b/>
        </w:rPr>
        <w:t xml:space="preserve"> 25.09</w:t>
      </w:r>
      <w:r w:rsidR="00A81F97" w:rsidRPr="00A77440">
        <w:rPr>
          <w:b/>
        </w:rPr>
        <w:t xml:space="preserve">.2014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5"/>
        <w:gridCol w:w="19"/>
        <w:gridCol w:w="7046"/>
        <w:gridCol w:w="22"/>
      </w:tblGrid>
      <w:tr w:rsidR="00506F64" w:rsidTr="00DC336B">
        <w:trPr>
          <w:gridAfter w:val="1"/>
          <w:wAfter w:w="22" w:type="dxa"/>
          <w:trHeight w:val="144"/>
        </w:trPr>
        <w:tc>
          <w:tcPr>
            <w:tcW w:w="588" w:type="dxa"/>
          </w:tcPr>
          <w:p w:rsidR="00506F64" w:rsidRDefault="00506F64" w:rsidP="00A81F97">
            <w:pPr>
              <w:jc w:val="center"/>
            </w:pPr>
            <w:r>
              <w:t>№</w:t>
            </w:r>
          </w:p>
        </w:tc>
        <w:tc>
          <w:tcPr>
            <w:tcW w:w="2834" w:type="dxa"/>
            <w:gridSpan w:val="2"/>
          </w:tcPr>
          <w:p w:rsidR="00506F64" w:rsidRDefault="00506F64" w:rsidP="00A81F97">
            <w:pPr>
              <w:jc w:val="center"/>
            </w:pPr>
            <w:r>
              <w:t>Вопрос</w:t>
            </w:r>
          </w:p>
        </w:tc>
        <w:tc>
          <w:tcPr>
            <w:tcW w:w="7046" w:type="dxa"/>
          </w:tcPr>
          <w:p w:rsidR="00506F64" w:rsidRDefault="00506F64" w:rsidP="00A81F97">
            <w:pPr>
              <w:jc w:val="center"/>
            </w:pPr>
            <w:r>
              <w:t>Содержание ответа</w:t>
            </w:r>
          </w:p>
        </w:tc>
      </w:tr>
      <w:tr w:rsidR="00442CC3" w:rsidTr="00DC336B">
        <w:trPr>
          <w:gridAfter w:val="1"/>
          <w:wAfter w:w="22" w:type="dxa"/>
          <w:trHeight w:val="144"/>
        </w:trPr>
        <w:tc>
          <w:tcPr>
            <w:tcW w:w="10468" w:type="dxa"/>
            <w:gridSpan w:val="4"/>
          </w:tcPr>
          <w:p w:rsidR="00442CC3" w:rsidRPr="00442CC3" w:rsidRDefault="00442CC3" w:rsidP="00A81F97">
            <w:pPr>
              <w:jc w:val="center"/>
              <w:rPr>
                <w:b/>
              </w:rPr>
            </w:pPr>
            <w:r w:rsidRPr="00442CC3">
              <w:rPr>
                <w:b/>
              </w:rPr>
              <w:t>Департамент культуры</w:t>
            </w:r>
          </w:p>
        </w:tc>
      </w:tr>
      <w:tr w:rsidR="00442CC3" w:rsidTr="00DC336B">
        <w:trPr>
          <w:gridAfter w:val="1"/>
          <w:wAfter w:w="22" w:type="dxa"/>
          <w:trHeight w:val="144"/>
        </w:trPr>
        <w:tc>
          <w:tcPr>
            <w:tcW w:w="588" w:type="dxa"/>
          </w:tcPr>
          <w:p w:rsidR="00442CC3" w:rsidRDefault="00442CC3" w:rsidP="00A81F97">
            <w:pPr>
              <w:jc w:val="center"/>
            </w:pPr>
            <w:r>
              <w:t>1</w:t>
            </w:r>
          </w:p>
        </w:tc>
        <w:tc>
          <w:tcPr>
            <w:tcW w:w="2834" w:type="dxa"/>
            <w:gridSpan w:val="2"/>
          </w:tcPr>
          <w:p w:rsidR="00442CC3" w:rsidRDefault="00442CC3" w:rsidP="00442CC3">
            <w:r>
              <w:t>Предусмотрены ли бюджетные средства на повышение заработной платы работникам бюджетных учреждений социальной сферы? Каким категориям и на сколько?</w:t>
            </w:r>
          </w:p>
        </w:tc>
        <w:tc>
          <w:tcPr>
            <w:tcW w:w="7046" w:type="dxa"/>
          </w:tcPr>
          <w:p w:rsidR="00442CC3" w:rsidRDefault="00442CC3" w:rsidP="00442CC3">
            <w:r>
              <w:t>2015 году планируется довести среднюю заработную плату:</w:t>
            </w:r>
          </w:p>
          <w:p w:rsidR="00442CC3" w:rsidRDefault="00442CC3" w:rsidP="00442CC3">
            <w:r>
              <w:t>- работников учреждений дополнительного образования детей до 22922 руб. – 85% средней зарплаты учителей по Самарской области;</w:t>
            </w:r>
            <w:bookmarkStart w:id="0" w:name="_GoBack"/>
            <w:bookmarkEnd w:id="0"/>
          </w:p>
          <w:p w:rsidR="00442CC3" w:rsidRDefault="00442CC3" w:rsidP="00442CC3">
            <w:r>
              <w:t>- профессорско-преподавательского состава МБОУ ВПО «Тольяттинская консерватория (институт)» до 38224 руб. – 133% средней зарплаты по Самарской области;</w:t>
            </w:r>
          </w:p>
          <w:p w:rsidR="00442CC3" w:rsidRDefault="00442CC3" w:rsidP="00442CC3">
            <w:r>
              <w:t>- работников учреждений культуры до 21699 руб. – 75,5 % средней зарплаты по Самарской области</w:t>
            </w:r>
          </w:p>
          <w:p w:rsidR="00442CC3" w:rsidRDefault="00442CC3" w:rsidP="00442CC3">
            <w:r>
              <w:t>Общий объем на ФОТ с учетом налогов составляет 69 325 тыс.руб., который будет направлен на увеличение стимулирующих выплат.</w:t>
            </w:r>
          </w:p>
        </w:tc>
      </w:tr>
      <w:tr w:rsidR="00B4157D" w:rsidTr="00DC336B">
        <w:trPr>
          <w:gridAfter w:val="1"/>
          <w:wAfter w:w="22" w:type="dxa"/>
          <w:trHeight w:val="144"/>
        </w:trPr>
        <w:tc>
          <w:tcPr>
            <w:tcW w:w="588" w:type="dxa"/>
          </w:tcPr>
          <w:p w:rsidR="00B4157D" w:rsidRDefault="00B4157D" w:rsidP="00A81F97">
            <w:pPr>
              <w:jc w:val="center"/>
            </w:pPr>
            <w:r>
              <w:t>2</w:t>
            </w:r>
          </w:p>
        </w:tc>
        <w:tc>
          <w:tcPr>
            <w:tcW w:w="2834" w:type="dxa"/>
            <w:gridSpan w:val="2"/>
          </w:tcPr>
          <w:p w:rsidR="00B4157D" w:rsidRPr="00A81F97" w:rsidRDefault="00B4157D" w:rsidP="005503A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каким объектам социальной инфраструктуры, планируется установить пандусы в 2015 году</w:t>
            </w:r>
          </w:p>
        </w:tc>
        <w:tc>
          <w:tcPr>
            <w:tcW w:w="7046" w:type="dxa"/>
          </w:tcPr>
          <w:p w:rsidR="00B4157D" w:rsidRPr="001D29F2" w:rsidRDefault="00B4157D" w:rsidP="00550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9F2">
              <w:rPr>
                <w:rFonts w:ascii="Times New Roman" w:hAnsi="Times New Roman" w:cs="Times New Roman"/>
                <w:sz w:val="24"/>
                <w:szCs w:val="24"/>
              </w:rPr>
              <w:t>МБУК «Художественный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</w:t>
            </w:r>
            <w:r w:rsidR="003A73CB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ольятти, ул</w:t>
            </w:r>
            <w:r w:rsidR="003A73C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вердлова,3</w:t>
            </w:r>
          </w:p>
        </w:tc>
      </w:tr>
      <w:tr w:rsidR="00653771" w:rsidTr="00DC336B">
        <w:trPr>
          <w:gridAfter w:val="1"/>
          <w:wAfter w:w="22" w:type="dxa"/>
          <w:trHeight w:val="144"/>
        </w:trPr>
        <w:tc>
          <w:tcPr>
            <w:tcW w:w="588" w:type="dxa"/>
          </w:tcPr>
          <w:p w:rsidR="00653771" w:rsidRDefault="00653771" w:rsidP="00A81F97">
            <w:pPr>
              <w:jc w:val="center"/>
            </w:pPr>
            <w:r>
              <w:t>3</w:t>
            </w:r>
          </w:p>
        </w:tc>
        <w:tc>
          <w:tcPr>
            <w:tcW w:w="2834" w:type="dxa"/>
            <w:gridSpan w:val="2"/>
          </w:tcPr>
          <w:p w:rsidR="00653771" w:rsidRDefault="00653771" w:rsidP="005503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Предусматриваются ли средства на капитальный и текущий ремонт муниципальных учреждений</w:t>
            </w:r>
          </w:p>
        </w:tc>
        <w:tc>
          <w:tcPr>
            <w:tcW w:w="7046" w:type="dxa"/>
          </w:tcPr>
          <w:p w:rsidR="00653771" w:rsidRPr="008944B8" w:rsidRDefault="008944B8" w:rsidP="00EC03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B8">
              <w:rPr>
                <w:rFonts w:ascii="Times New Roman" w:hAnsi="Times New Roman" w:cs="Times New Roman"/>
                <w:sz w:val="24"/>
                <w:szCs w:val="24"/>
              </w:rPr>
              <w:t>Методикой по определению нормативных затрат предусматриваются расходы на проведение текущего ремонта  помещений, но  в связи с дефицитом бюджета дополнительных средств не выделено.</w:t>
            </w:r>
          </w:p>
        </w:tc>
      </w:tr>
      <w:tr w:rsidR="00653771" w:rsidTr="00DC336B">
        <w:trPr>
          <w:gridAfter w:val="1"/>
          <w:wAfter w:w="22" w:type="dxa"/>
          <w:trHeight w:val="144"/>
        </w:trPr>
        <w:tc>
          <w:tcPr>
            <w:tcW w:w="588" w:type="dxa"/>
          </w:tcPr>
          <w:p w:rsidR="00653771" w:rsidRDefault="00653771" w:rsidP="00A81F97">
            <w:pPr>
              <w:jc w:val="center"/>
            </w:pPr>
            <w:r>
              <w:t>4</w:t>
            </w:r>
          </w:p>
        </w:tc>
        <w:tc>
          <w:tcPr>
            <w:tcW w:w="2834" w:type="dxa"/>
            <w:gridSpan w:val="2"/>
          </w:tcPr>
          <w:p w:rsidR="00653771" w:rsidRDefault="00653771" w:rsidP="003A73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>Предусмотрены ли средства на субсидии социально ориентированным некоммерческим организациям?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>а, то, в каком размере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 xml:space="preserve"> и в какой строке бюджета отражены?</w:t>
            </w:r>
          </w:p>
        </w:tc>
        <w:tc>
          <w:tcPr>
            <w:tcW w:w="7046" w:type="dxa"/>
          </w:tcPr>
          <w:p w:rsidR="00653771" w:rsidRPr="00632FDD" w:rsidRDefault="00653771" w:rsidP="00B415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 в размере 7 000 тыс.руб.</w:t>
            </w:r>
            <w:r w:rsidR="00AE7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приоритетных расходах при условии перевыполнения доходной части бюджета.</w:t>
            </w:r>
          </w:p>
          <w:p w:rsidR="00653771" w:rsidRDefault="00653771" w:rsidP="00B41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71" w:rsidTr="00DC336B">
        <w:trPr>
          <w:gridAfter w:val="1"/>
          <w:wAfter w:w="22" w:type="dxa"/>
          <w:trHeight w:val="144"/>
        </w:trPr>
        <w:tc>
          <w:tcPr>
            <w:tcW w:w="588" w:type="dxa"/>
          </w:tcPr>
          <w:p w:rsidR="00653771" w:rsidRDefault="00653771" w:rsidP="00A81F97">
            <w:pPr>
              <w:jc w:val="center"/>
            </w:pPr>
            <w:r>
              <w:t>5</w:t>
            </w:r>
          </w:p>
        </w:tc>
        <w:tc>
          <w:tcPr>
            <w:tcW w:w="2834" w:type="dxa"/>
            <w:gridSpan w:val="2"/>
          </w:tcPr>
          <w:p w:rsidR="00653771" w:rsidRPr="00632FDD" w:rsidRDefault="00653771" w:rsidP="005503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>Какие заявки были направлены на выделение средств из вышестоящих бюджетов?</w:t>
            </w:r>
          </w:p>
        </w:tc>
        <w:tc>
          <w:tcPr>
            <w:tcW w:w="7046" w:type="dxa"/>
          </w:tcPr>
          <w:p w:rsidR="00653771" w:rsidRDefault="00653771" w:rsidP="00B4157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>В управление финансов Самарской области направлена заявка на финансирование расходов на содержание МАУК «Парковый комплекс им.Г.К.Сахарова» в размере 45 672 тыс.руб.</w:t>
            </w:r>
          </w:p>
          <w:p w:rsidR="00653771" w:rsidRPr="00632FDD" w:rsidRDefault="00653771" w:rsidP="00B415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71" w:rsidRPr="00632FDD" w:rsidRDefault="00653771" w:rsidP="00B415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>Для участия в государственной программе «Развитие культуры в Самарской области на период до 2020 года» ( далее -ГП) на 2014-2015 годы от мэрии городского округа Тольятти в министерство культуры Самарской области  были направлены заявки по следующим мероприятиям:</w:t>
            </w:r>
          </w:p>
          <w:p w:rsidR="00653771" w:rsidRPr="00632FDD" w:rsidRDefault="00653771" w:rsidP="00B4157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капитальный 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ремонт зданий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(помещений) учреждений культуры и искусства  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МБУК «Тольяттинский краеведческий музей», МБОУ ДОД «Детский ДК»</w:t>
            </w:r>
            <w:r w:rsidRPr="00632F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МБОУ ВПО «Тольяттинская консерватория»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Pr="0063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16 509,216 т.р.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областного бюджета, софинансирование из местного бюджета составит  869,0 т.р. (5 %). В настоящее время заявка находится в листе ожидания на 2014 г. и, в случае отсутствия средств на выполнение ГП в текущем году,  будет </w:t>
            </w:r>
            <w:r w:rsidRPr="0063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перенесена на 2015 г.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3771" w:rsidRPr="00632FDD" w:rsidRDefault="00653771" w:rsidP="00B4157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капитальный 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ремонт залов МАУ «Театр юного зрителя «Дилижанс» и     </w:t>
            </w:r>
          </w:p>
          <w:p w:rsidR="00653771" w:rsidRPr="00632FDD" w:rsidRDefault="00653771" w:rsidP="00B4157D">
            <w:pPr>
              <w:tabs>
                <w:tab w:val="left" w:pos="142"/>
              </w:tabs>
              <w:rPr>
                <w:color w:val="000000"/>
              </w:rPr>
            </w:pPr>
            <w:r w:rsidRPr="00632FDD">
              <w:rPr>
                <w:color w:val="000000"/>
              </w:rPr>
              <w:t xml:space="preserve">       </w:t>
            </w:r>
            <w:r w:rsidRPr="00632FDD">
              <w:rPr>
                <w:color w:val="000000"/>
                <w:u w:val="single"/>
              </w:rPr>
              <w:t>МБУИиК «Тольяттинская филармония</w:t>
            </w:r>
            <w:r w:rsidRPr="00632FDD">
              <w:rPr>
                <w:color w:val="000000"/>
              </w:rPr>
              <w:t xml:space="preserve">» на </w:t>
            </w:r>
            <w:r w:rsidRPr="00632FDD">
              <w:rPr>
                <w:b/>
                <w:color w:val="000000"/>
              </w:rPr>
              <w:t>2015 год</w:t>
            </w:r>
            <w:r w:rsidRPr="00632FDD">
              <w:rPr>
                <w:color w:val="000000"/>
              </w:rPr>
              <w:t xml:space="preserve"> на рассмотрении находится заявка на сумму </w:t>
            </w:r>
            <w:r w:rsidRPr="00632FDD">
              <w:rPr>
                <w:b/>
                <w:color w:val="000000"/>
              </w:rPr>
              <w:t>13 913,58 т.р.</w:t>
            </w:r>
            <w:r w:rsidRPr="00632FDD">
              <w:rPr>
                <w:color w:val="000000"/>
              </w:rPr>
              <w:t xml:space="preserve"> из областного бюджета, необходимое софинансирование  732,5 т.р., официальное подтверждение  на 25.09.2014 г. не поступило.</w:t>
            </w:r>
          </w:p>
          <w:p w:rsidR="00653771" w:rsidRPr="00632FDD" w:rsidRDefault="00653771" w:rsidP="00B4157D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 сохранению объектов культурного наследия: </w:t>
            </w:r>
          </w:p>
          <w:p w:rsidR="00653771" w:rsidRPr="00632FDD" w:rsidRDefault="00653771" w:rsidP="00B4157D">
            <w:pPr>
              <w:tabs>
                <w:tab w:val="left" w:pos="142"/>
              </w:tabs>
              <w:rPr>
                <w:color w:val="000000"/>
              </w:rPr>
            </w:pPr>
            <w:r w:rsidRPr="00632FDD">
              <w:rPr>
                <w:color w:val="000000"/>
              </w:rPr>
              <w:t xml:space="preserve">            -на </w:t>
            </w:r>
            <w:r w:rsidRPr="00632FDD">
              <w:rPr>
                <w:color w:val="000000"/>
                <w:u w:val="single"/>
              </w:rPr>
              <w:t>ремонт фасада МБУИ Театра кукол «Пилигрим»</w:t>
            </w:r>
            <w:r w:rsidRPr="00632FDD">
              <w:rPr>
                <w:color w:val="000000"/>
              </w:rPr>
              <w:t xml:space="preserve">  </w:t>
            </w:r>
            <w:r w:rsidRPr="00632FDD">
              <w:rPr>
                <w:b/>
                <w:color w:val="000000"/>
              </w:rPr>
              <w:t>1287,72 т.р.</w:t>
            </w:r>
            <w:r w:rsidRPr="00632FDD">
              <w:rPr>
                <w:color w:val="000000"/>
              </w:rPr>
              <w:t xml:space="preserve"> из областного бюджета, 68 т.р. составляет софинансирование городского округа Тольятти, данные работы являются приоритетными и необходимы в </w:t>
            </w:r>
            <w:r w:rsidRPr="00632FDD">
              <w:rPr>
                <w:b/>
                <w:color w:val="000000"/>
              </w:rPr>
              <w:t>2015 г.,</w:t>
            </w:r>
            <w:r w:rsidRPr="00632FDD">
              <w:rPr>
                <w:color w:val="000000"/>
              </w:rPr>
              <w:t xml:space="preserve"> подтверждение не поступило;</w:t>
            </w:r>
          </w:p>
          <w:p w:rsidR="00653771" w:rsidRPr="00632FDD" w:rsidRDefault="00653771" w:rsidP="00B4157D">
            <w:pPr>
              <w:tabs>
                <w:tab w:val="left" w:pos="142"/>
              </w:tabs>
              <w:rPr>
                <w:b/>
                <w:color w:val="000000"/>
              </w:rPr>
            </w:pPr>
            <w:r w:rsidRPr="00632FDD">
              <w:rPr>
                <w:color w:val="000000"/>
              </w:rPr>
              <w:t xml:space="preserve">- на разработку </w:t>
            </w:r>
            <w:r w:rsidRPr="00632FDD">
              <w:rPr>
                <w:color w:val="000000"/>
                <w:u w:val="single"/>
              </w:rPr>
              <w:t>проектной документации</w:t>
            </w:r>
            <w:r w:rsidRPr="00632FDD">
              <w:rPr>
                <w:color w:val="000000"/>
              </w:rPr>
              <w:t xml:space="preserve"> для последующего выполнения комп</w:t>
            </w:r>
            <w:r>
              <w:rPr>
                <w:color w:val="000000"/>
              </w:rPr>
              <w:t>лекса производственных работ, по</w:t>
            </w:r>
            <w:r w:rsidRPr="00632FDD">
              <w:rPr>
                <w:color w:val="000000"/>
              </w:rPr>
              <w:t xml:space="preserve">этому же </w:t>
            </w:r>
            <w:r w:rsidRPr="00632FDD">
              <w:rPr>
                <w:color w:val="000000"/>
                <w:u w:val="single"/>
              </w:rPr>
              <w:t>объекту</w:t>
            </w:r>
            <w:r w:rsidRPr="00632FDD">
              <w:rPr>
                <w:color w:val="000000"/>
              </w:rPr>
              <w:t xml:space="preserve">, необходимо </w:t>
            </w:r>
            <w:r w:rsidRPr="00632FDD">
              <w:rPr>
                <w:b/>
                <w:color w:val="000000"/>
              </w:rPr>
              <w:t xml:space="preserve"> 5444 т.р. </w:t>
            </w:r>
            <w:r w:rsidRPr="00632FDD">
              <w:rPr>
                <w:color w:val="000000"/>
              </w:rPr>
              <w:t xml:space="preserve">из областного бюджета, 287 т.р. составит софинансирование, пакет документов скорректирован с учетом специфики требований к объектам культурного наследия, заявка будут перенесена на </w:t>
            </w:r>
            <w:r w:rsidRPr="00632FDD">
              <w:rPr>
                <w:b/>
                <w:color w:val="000000"/>
              </w:rPr>
              <w:t>2016 г.</w:t>
            </w:r>
          </w:p>
          <w:p w:rsidR="00653771" w:rsidRPr="00632FDD" w:rsidRDefault="00653771" w:rsidP="00B4157D">
            <w:pPr>
              <w:tabs>
                <w:tab w:val="left" w:pos="142"/>
              </w:tabs>
              <w:rPr>
                <w:b/>
                <w:color w:val="000000"/>
              </w:rPr>
            </w:pPr>
            <w:r w:rsidRPr="00632FDD">
              <w:rPr>
                <w:color w:val="000000"/>
              </w:rPr>
              <w:t xml:space="preserve">-на производственные работы по </w:t>
            </w:r>
            <w:r w:rsidRPr="00632FDD">
              <w:rPr>
                <w:color w:val="000000"/>
                <w:u w:val="single"/>
              </w:rPr>
              <w:t>ремонту фасада и благоустройству территории МБУК ДЦ «Русич»,</w:t>
            </w:r>
            <w:r w:rsidRPr="00632FDD">
              <w:rPr>
                <w:color w:val="000000"/>
              </w:rPr>
              <w:t xml:space="preserve"> сумма затрат по проектной документации и полученным экспертизам составляет 38 898,13 т.р., запрашивается  </w:t>
            </w:r>
            <w:r w:rsidRPr="00632FDD">
              <w:rPr>
                <w:b/>
                <w:color w:val="000000"/>
              </w:rPr>
              <w:t xml:space="preserve">36 953,13 т.р. </w:t>
            </w:r>
            <w:r w:rsidRPr="00632FDD">
              <w:rPr>
                <w:color w:val="000000"/>
              </w:rPr>
              <w:t>из областного бюджета, 1945,0 т.р. –</w:t>
            </w:r>
            <w:r>
              <w:rPr>
                <w:color w:val="000000"/>
              </w:rPr>
              <w:t xml:space="preserve"> </w:t>
            </w:r>
            <w:r w:rsidRPr="00632FDD">
              <w:rPr>
                <w:color w:val="000000"/>
              </w:rPr>
              <w:t xml:space="preserve">софинансирование из местного бюджета, заявка предположительно может быть включена на </w:t>
            </w:r>
            <w:r w:rsidRPr="00632FDD">
              <w:rPr>
                <w:b/>
                <w:color w:val="000000"/>
              </w:rPr>
              <w:t>2016 -2017 гг.</w:t>
            </w:r>
          </w:p>
          <w:p w:rsidR="00653771" w:rsidRPr="00632FDD" w:rsidRDefault="00653771" w:rsidP="00B4157D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Кроме того, направлены на 2015 г. заявки на 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обеспечение сохранности музейных предметов и музейных коллекций государственного музейного фонда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- 5 906,6 тыс.руб., в том числе: 4 931,785 тыс.руб. – для МБУК «Тольяттинский краеведческий музей»; 974,815 тыс.руб. – для МБУК «Тольяттинский художественный музей». Могут быть удовлетворены не ранее </w:t>
            </w:r>
            <w:r w:rsidRPr="0063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 г.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условии финансирования ГП в полном объеме и выделении дополнительных средств (из областного бюджета необходимо </w:t>
            </w:r>
            <w:r w:rsidRPr="0063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5611,1 т.р.,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составит  295,5 т.р.).</w:t>
            </w:r>
          </w:p>
          <w:p w:rsidR="00653771" w:rsidRPr="00632FDD" w:rsidRDefault="00653771" w:rsidP="00B4157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 оснащение муниципальных учреждений культуры специализированным оборудованием 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760,126 тыс.руб. для МБУИ «Тольяттинская филармония», из областного бюджета  необходимо </w:t>
            </w:r>
            <w:r w:rsidRPr="0063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722,0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т.р</w:t>
            </w: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софинансирование 38,113 т.р., заявка может быть включена на 2017 г., так как отсутствуют средства в 2015-2016 гг. на оснащение культурно-досуговых учреждений  муниципальных образований.</w:t>
            </w:r>
          </w:p>
          <w:p w:rsidR="00653771" w:rsidRPr="00632FDD" w:rsidRDefault="00653771" w:rsidP="00B415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 образом, сметная стоимость заявок городского округа Тольятти в ГП составила  84 675,876 т.р. с учетом произведенных корректировок по итогам государственных экспертиз сметной документации, из них на 2015 год запрашивалось 80 440, 746 т.р., в данном случае сумма софинансирования из бюджета городского округа Тольятти составила бы 4 235,13 т.р.</w:t>
            </w:r>
          </w:p>
        </w:tc>
      </w:tr>
      <w:tr w:rsidR="00653771" w:rsidTr="00DC336B">
        <w:trPr>
          <w:gridAfter w:val="1"/>
          <w:wAfter w:w="22" w:type="dxa"/>
          <w:trHeight w:val="144"/>
        </w:trPr>
        <w:tc>
          <w:tcPr>
            <w:tcW w:w="588" w:type="dxa"/>
          </w:tcPr>
          <w:p w:rsidR="00653771" w:rsidRDefault="00653771" w:rsidP="00A81F97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4" w:type="dxa"/>
            <w:gridSpan w:val="2"/>
          </w:tcPr>
          <w:p w:rsidR="00653771" w:rsidRPr="00632FDD" w:rsidRDefault="00653771" w:rsidP="005503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 xml:space="preserve">На какие цели планируется израсходовать средства областного бюджета, предоставляемые с </w:t>
            </w:r>
            <w:r w:rsidRPr="00632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выполнения показателей социально-экономического развития (стимулирующие субсидии) – 9973 тыс.руб.+12044 тыс.руб.+47308 тыс.руб.?</w:t>
            </w:r>
          </w:p>
        </w:tc>
        <w:tc>
          <w:tcPr>
            <w:tcW w:w="7046" w:type="dxa"/>
          </w:tcPr>
          <w:p w:rsidR="00653771" w:rsidRPr="00632FDD" w:rsidRDefault="00653771" w:rsidP="00B4157D">
            <w:r w:rsidRPr="00632FDD">
              <w:lastRenderedPageBreak/>
              <w:t>Средства областной стимулирующей субсидии планируется израсходовать на увеличение заработной платы отдельных категорий работников в целях реализации Указов Президента РФ (см. вопрос 2):</w:t>
            </w:r>
          </w:p>
          <w:p w:rsidR="00653771" w:rsidRPr="00632FDD" w:rsidRDefault="00653771" w:rsidP="00B4157D">
            <w:r w:rsidRPr="00632FDD">
              <w:t xml:space="preserve">-  9973 тыс.руб. – педагогических работников учреждений </w:t>
            </w:r>
            <w:r w:rsidRPr="00632FDD">
              <w:lastRenderedPageBreak/>
              <w:t>дополнительного образования детей;</w:t>
            </w:r>
          </w:p>
          <w:p w:rsidR="00653771" w:rsidRPr="00632FDD" w:rsidRDefault="00653771" w:rsidP="00B4157D">
            <w:r w:rsidRPr="00632FDD">
              <w:t>- 12044 тыс.руб. – профессорско-преподавательского состава МБОУ ВПО «Тольяттинская консерватория (институт)»;</w:t>
            </w:r>
          </w:p>
          <w:p w:rsidR="00653771" w:rsidRPr="00632FDD" w:rsidRDefault="00653771" w:rsidP="00B4157D">
            <w:r w:rsidRPr="00632FDD">
              <w:t>- 47308 тыс.руб. – работников учреждений культуры;</w:t>
            </w:r>
          </w:p>
          <w:p w:rsidR="00653771" w:rsidRPr="00632FDD" w:rsidRDefault="00653771" w:rsidP="00B415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71" w:rsidTr="00DC336B">
        <w:trPr>
          <w:gridAfter w:val="1"/>
          <w:wAfter w:w="22" w:type="dxa"/>
          <w:trHeight w:val="4150"/>
        </w:trPr>
        <w:tc>
          <w:tcPr>
            <w:tcW w:w="588" w:type="dxa"/>
          </w:tcPr>
          <w:p w:rsidR="00653771" w:rsidRDefault="00653771" w:rsidP="00A81F97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4" w:type="dxa"/>
            <w:gridSpan w:val="2"/>
          </w:tcPr>
          <w:p w:rsidR="00653771" w:rsidRPr="00632FDD" w:rsidRDefault="00653771" w:rsidP="005503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>Что именно включают в себя расходы на предоставление субсидий социально ориентированным некоммерческим организациям, не являющимися государственными (муниципальными) учреждениями, на осуществление ими уставной деятельности в сфере дошкольного образования?</w:t>
            </w:r>
          </w:p>
        </w:tc>
        <w:tc>
          <w:tcPr>
            <w:tcW w:w="7046" w:type="dxa"/>
          </w:tcPr>
          <w:p w:rsidR="00653771" w:rsidRPr="00632FDD" w:rsidRDefault="00653771" w:rsidP="00B415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>Данные расходы включают в себя повышение заработной платы и частично  фонд оплаты труда за счет средств областного бюджета</w:t>
            </w:r>
          </w:p>
          <w:p w:rsidR="00653771" w:rsidRPr="00632FDD" w:rsidRDefault="00653771" w:rsidP="00B4157D"/>
        </w:tc>
      </w:tr>
      <w:tr w:rsidR="00653771" w:rsidTr="00DC336B">
        <w:trPr>
          <w:gridAfter w:val="1"/>
          <w:wAfter w:w="22" w:type="dxa"/>
          <w:trHeight w:val="1654"/>
        </w:trPr>
        <w:tc>
          <w:tcPr>
            <w:tcW w:w="588" w:type="dxa"/>
          </w:tcPr>
          <w:p w:rsidR="00653771" w:rsidRDefault="00653771" w:rsidP="00A81F97">
            <w:pPr>
              <w:jc w:val="center"/>
            </w:pPr>
            <w:r>
              <w:t>8</w:t>
            </w:r>
          </w:p>
        </w:tc>
        <w:tc>
          <w:tcPr>
            <w:tcW w:w="2834" w:type="dxa"/>
            <w:gridSpan w:val="2"/>
          </w:tcPr>
          <w:p w:rsidR="00653771" w:rsidRPr="00632FDD" w:rsidRDefault="00653771" w:rsidP="005503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>Сколько дополнительных средств планируется привлечь в отрасль «Культура» от оказания платных услуг?</w:t>
            </w:r>
          </w:p>
        </w:tc>
        <w:tc>
          <w:tcPr>
            <w:tcW w:w="7046" w:type="dxa"/>
          </w:tcPr>
          <w:p w:rsidR="00653771" w:rsidRPr="00632FDD" w:rsidRDefault="00653771" w:rsidP="00B415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>В 2015 году планируются поступления от оказания платных услуг в размере 92 258 тыс.руб.</w:t>
            </w:r>
          </w:p>
          <w:p w:rsidR="00653771" w:rsidRPr="00632FDD" w:rsidRDefault="00653771" w:rsidP="00B415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71" w:rsidTr="00DC336B">
        <w:trPr>
          <w:gridAfter w:val="1"/>
          <w:wAfter w:w="22" w:type="dxa"/>
          <w:trHeight w:val="2211"/>
        </w:trPr>
        <w:tc>
          <w:tcPr>
            <w:tcW w:w="588" w:type="dxa"/>
          </w:tcPr>
          <w:p w:rsidR="00653771" w:rsidRDefault="00653771" w:rsidP="00A81F97">
            <w:pPr>
              <w:jc w:val="center"/>
            </w:pPr>
            <w:r>
              <w:t>9</w:t>
            </w:r>
          </w:p>
        </w:tc>
        <w:tc>
          <w:tcPr>
            <w:tcW w:w="2834" w:type="dxa"/>
            <w:gridSpan w:val="2"/>
          </w:tcPr>
          <w:p w:rsidR="00653771" w:rsidRDefault="00653771" w:rsidP="00442CC3">
            <w:r w:rsidRPr="00632FDD">
              <w:t>Включены ли в проект бюджета расходы на восстановление и введение в эксплуатацию здания бывшего развлекательного комплекса «Пирамида»</w:t>
            </w:r>
          </w:p>
        </w:tc>
        <w:tc>
          <w:tcPr>
            <w:tcW w:w="7046" w:type="dxa"/>
          </w:tcPr>
          <w:p w:rsidR="00653771" w:rsidRPr="00632FDD" w:rsidRDefault="00653771" w:rsidP="00B415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>На 2015 год предусмотрены средства в размере 28 500 тыс.руб. на проектные работы здания бывшего развлекательного комплекса «Пирамида», на восстановление и 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  <w:r w:rsidRPr="00632F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не предусмотрены.</w:t>
            </w:r>
          </w:p>
          <w:p w:rsidR="00653771" w:rsidRDefault="00653771" w:rsidP="00442CC3"/>
        </w:tc>
      </w:tr>
      <w:tr w:rsidR="00653771" w:rsidTr="00DC336B">
        <w:trPr>
          <w:gridAfter w:val="1"/>
          <w:wAfter w:w="22" w:type="dxa"/>
          <w:trHeight w:val="3880"/>
        </w:trPr>
        <w:tc>
          <w:tcPr>
            <w:tcW w:w="588" w:type="dxa"/>
          </w:tcPr>
          <w:p w:rsidR="00653771" w:rsidRDefault="00653771" w:rsidP="00A81F97">
            <w:pPr>
              <w:jc w:val="center"/>
            </w:pPr>
            <w:r>
              <w:t>10</w:t>
            </w:r>
          </w:p>
        </w:tc>
        <w:tc>
          <w:tcPr>
            <w:tcW w:w="2834" w:type="dxa"/>
            <w:gridSpan w:val="2"/>
          </w:tcPr>
          <w:p w:rsidR="00653771" w:rsidRPr="00632FDD" w:rsidRDefault="00653771" w:rsidP="00442CC3">
            <w:r>
              <w:t>Разработать план обеспеченных финансированием мероприятий, посвященных Году Литературы в РФ, объявленному Указом Президента РФ. Провести общественные слушания по указанному плану не позднее декабря 2014 года.</w:t>
            </w:r>
          </w:p>
        </w:tc>
        <w:tc>
          <w:tcPr>
            <w:tcW w:w="7046" w:type="dxa"/>
          </w:tcPr>
          <w:p w:rsidR="00653771" w:rsidRPr="00632FDD" w:rsidRDefault="00653771" w:rsidP="00B415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находится в стадии разработки.</w:t>
            </w:r>
          </w:p>
        </w:tc>
      </w:tr>
      <w:tr w:rsidR="00DC336B" w:rsidRPr="00DC336B" w:rsidTr="00DC33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6B" w:rsidRPr="00DC336B" w:rsidRDefault="00DC336B" w:rsidP="00584F80">
            <w:pPr>
              <w:jc w:val="center"/>
            </w:pPr>
            <w:r w:rsidRPr="00DC336B"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B" w:rsidRDefault="00DC336B" w:rsidP="00584F80">
            <w:pPr>
              <w:ind w:left="-108" w:right="-99"/>
            </w:pPr>
          </w:p>
          <w:p w:rsidR="00DC336B" w:rsidRPr="00DC336B" w:rsidRDefault="00DC336B" w:rsidP="00584F8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C336B">
              <w:rPr>
                <w:u w:val="single"/>
              </w:rPr>
              <w:lastRenderedPageBreak/>
              <w:t>Предложения по доработке проекта бюджета (для включения в протокол обсуждений)</w:t>
            </w:r>
          </w:p>
          <w:p w:rsidR="00DC336B" w:rsidRPr="00DC336B" w:rsidRDefault="00DC336B" w:rsidP="00584F80">
            <w:pPr>
              <w:autoSpaceDE w:val="0"/>
              <w:autoSpaceDN w:val="0"/>
              <w:adjustRightInd w:val="0"/>
            </w:pPr>
            <w:r w:rsidRPr="00DC336B">
              <w:t xml:space="preserve"> Размещать на </w:t>
            </w:r>
            <w:proofErr w:type="gramStart"/>
            <w:r w:rsidRPr="00DC336B">
              <w:t>портале</w:t>
            </w:r>
            <w:proofErr w:type="gramEnd"/>
            <w:r w:rsidRPr="00DC336B">
              <w:t xml:space="preserve"> мэрии информацию о финансировании и основных показателях деятельности муниципальных учреждений социальной сферы на текущий финансовый год по  следующей форме…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B" w:rsidRPr="00DC336B" w:rsidRDefault="00DC336B" w:rsidP="00584F80">
            <w:pPr>
              <w:jc w:val="both"/>
            </w:pPr>
            <w:r w:rsidRPr="00DC336B">
              <w:lastRenderedPageBreak/>
              <w:t xml:space="preserve">На Ваше предложение, сообщаю, что у каждого муниципального </w:t>
            </w:r>
            <w:r w:rsidRPr="00DC336B">
              <w:lastRenderedPageBreak/>
              <w:t>учреждения есть официальный сайт, на котором размещена необходимая информация.</w:t>
            </w:r>
          </w:p>
          <w:p w:rsidR="00DC336B" w:rsidRPr="00DC336B" w:rsidRDefault="00DC336B" w:rsidP="00584F80">
            <w:pPr>
              <w:jc w:val="both"/>
            </w:pPr>
            <w:r w:rsidRPr="00DC336B">
              <w:t xml:space="preserve">Кроме того, информация об учреждениях размещается на </w:t>
            </w:r>
            <w:proofErr w:type="spellStart"/>
            <w:r w:rsidRPr="00DC336B">
              <w:t>www.bus.gov.ru</w:t>
            </w:r>
            <w:proofErr w:type="spellEnd"/>
            <w:r w:rsidRPr="00DC336B">
              <w:t xml:space="preserve">. </w:t>
            </w:r>
          </w:p>
        </w:tc>
      </w:tr>
    </w:tbl>
    <w:p w:rsidR="00FA19CE" w:rsidRPr="00A81F97" w:rsidRDefault="00FA19CE"/>
    <w:sectPr w:rsidR="00FA19CE" w:rsidRPr="00A81F97" w:rsidSect="009533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A75"/>
    <w:multiLevelType w:val="hybridMultilevel"/>
    <w:tmpl w:val="3294E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769"/>
    <w:multiLevelType w:val="hybridMultilevel"/>
    <w:tmpl w:val="AD64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87C4A"/>
    <w:multiLevelType w:val="hybridMultilevel"/>
    <w:tmpl w:val="5496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60B85"/>
    <w:multiLevelType w:val="hybridMultilevel"/>
    <w:tmpl w:val="1D88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176BA"/>
    <w:multiLevelType w:val="hybridMultilevel"/>
    <w:tmpl w:val="3294E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F97"/>
    <w:rsid w:val="00180CA5"/>
    <w:rsid w:val="001D29F2"/>
    <w:rsid w:val="001E29E4"/>
    <w:rsid w:val="003915FF"/>
    <w:rsid w:val="003A73CB"/>
    <w:rsid w:val="00442CC3"/>
    <w:rsid w:val="004656AC"/>
    <w:rsid w:val="00473DBA"/>
    <w:rsid w:val="00506F64"/>
    <w:rsid w:val="00632FDD"/>
    <w:rsid w:val="00653771"/>
    <w:rsid w:val="006D482F"/>
    <w:rsid w:val="008944B8"/>
    <w:rsid w:val="009530BE"/>
    <w:rsid w:val="00953356"/>
    <w:rsid w:val="00A61065"/>
    <w:rsid w:val="00A81F97"/>
    <w:rsid w:val="00AE7067"/>
    <w:rsid w:val="00AF4930"/>
    <w:rsid w:val="00B4157D"/>
    <w:rsid w:val="00C10CEA"/>
    <w:rsid w:val="00DC336B"/>
    <w:rsid w:val="00FA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1F97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F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A81F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632F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1F97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F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A81F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632F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DHM</cp:lastModifiedBy>
  <cp:revision>3</cp:revision>
  <cp:lastPrinted>2014-09-29T04:21:00Z</cp:lastPrinted>
  <dcterms:created xsi:type="dcterms:W3CDTF">2014-10-07T05:09:00Z</dcterms:created>
  <dcterms:modified xsi:type="dcterms:W3CDTF">2014-10-07T05:11:00Z</dcterms:modified>
</cp:coreProperties>
</file>