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073C6" w:rsidRPr="007532C7" w:rsidTr="002073C6">
        <w:tc>
          <w:tcPr>
            <w:tcW w:w="4785" w:type="dxa"/>
          </w:tcPr>
          <w:p w:rsidR="002073C6" w:rsidRPr="007532C7" w:rsidRDefault="002073C6" w:rsidP="002073C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073C6" w:rsidRPr="007532C7" w:rsidRDefault="002073C6" w:rsidP="002073C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2073C6" w:rsidRPr="007532C7" w:rsidRDefault="007532C7" w:rsidP="00207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73C6"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</w:t>
            </w:r>
          </w:p>
          <w:p w:rsidR="002073C6" w:rsidRPr="007532C7" w:rsidRDefault="002073C6" w:rsidP="00207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</w:t>
            </w:r>
          </w:p>
          <w:p w:rsidR="002073C6" w:rsidRPr="007532C7" w:rsidRDefault="002073C6" w:rsidP="00207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532C7" w:rsidRPr="007532C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2C7" w:rsidRPr="007532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2C7" w:rsidRPr="007532C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073C6" w:rsidRPr="007532C7" w:rsidRDefault="002073C6" w:rsidP="002073C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80B" w:rsidRPr="007532C7" w:rsidRDefault="00F1380B" w:rsidP="0020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2C7" w:rsidRDefault="007532C7" w:rsidP="0020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</w:p>
    <w:p w:rsidR="00636A83" w:rsidRPr="007532C7" w:rsidRDefault="002073C6" w:rsidP="0020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32C7">
        <w:rPr>
          <w:rFonts w:ascii="Times New Roman" w:hAnsi="Times New Roman" w:cs="Times New Roman"/>
          <w:bCs/>
          <w:sz w:val="24"/>
          <w:szCs w:val="24"/>
        </w:rPr>
        <w:t xml:space="preserve">Документ планирования регулярных перевозок </w:t>
      </w:r>
    </w:p>
    <w:p w:rsidR="00F1380B" w:rsidRPr="007532C7" w:rsidRDefault="002073C6" w:rsidP="0020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2C7">
        <w:rPr>
          <w:rFonts w:ascii="Times New Roman" w:hAnsi="Times New Roman" w:cs="Times New Roman"/>
          <w:sz w:val="24"/>
          <w:szCs w:val="24"/>
        </w:rPr>
        <w:t>по муниципальным маршрутам городского округа Тольятти</w:t>
      </w:r>
    </w:p>
    <w:p w:rsidR="00F1380B" w:rsidRPr="007532C7" w:rsidRDefault="00F1380B" w:rsidP="0020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0B" w:rsidRPr="007532C7" w:rsidRDefault="00F1380B" w:rsidP="002073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532C7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F1380B" w:rsidRPr="007532C7" w:rsidRDefault="00F1380B" w:rsidP="0020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0B" w:rsidRPr="007532C7" w:rsidRDefault="00F1380B" w:rsidP="00DB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2C7">
        <w:rPr>
          <w:rFonts w:ascii="Times New Roman" w:hAnsi="Times New Roman" w:cs="Times New Roman"/>
          <w:sz w:val="24"/>
          <w:szCs w:val="24"/>
        </w:rPr>
        <w:t xml:space="preserve">Настоящий Документ планирования регулярных перевозок </w:t>
      </w:r>
      <w:r w:rsidR="007532C7" w:rsidRPr="007532C7">
        <w:rPr>
          <w:rFonts w:ascii="Times New Roman" w:hAnsi="Times New Roman" w:cs="Times New Roman"/>
          <w:sz w:val="24"/>
          <w:szCs w:val="24"/>
        </w:rPr>
        <w:t xml:space="preserve">по муниципальным маршрутам </w:t>
      </w:r>
      <w:r w:rsidRPr="007532C7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="007532C7">
        <w:rPr>
          <w:rFonts w:ascii="Times New Roman" w:hAnsi="Times New Roman" w:cs="Times New Roman"/>
          <w:sz w:val="24"/>
          <w:szCs w:val="24"/>
        </w:rPr>
        <w:t xml:space="preserve">(далее – Документ планирования) </w:t>
      </w:r>
      <w:r w:rsidRPr="007532C7">
        <w:rPr>
          <w:rFonts w:ascii="Times New Roman" w:hAnsi="Times New Roman" w:cs="Times New Roman"/>
          <w:sz w:val="24"/>
          <w:szCs w:val="24"/>
        </w:rPr>
        <w:t xml:space="preserve">разработан во исполнение Федерального </w:t>
      </w:r>
      <w:hyperlink r:id="rId7" w:history="1">
        <w:r w:rsidRPr="007532C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532C7">
        <w:rPr>
          <w:rFonts w:ascii="Times New Roman" w:hAnsi="Times New Roman" w:cs="Times New Roman"/>
          <w:sz w:val="24"/>
          <w:szCs w:val="24"/>
        </w:rPr>
        <w:t xml:space="preserve"> от 13.07.2015 </w:t>
      </w:r>
      <w:r w:rsidR="007532C7">
        <w:rPr>
          <w:rFonts w:ascii="Times New Roman" w:hAnsi="Times New Roman" w:cs="Times New Roman"/>
          <w:sz w:val="24"/>
          <w:szCs w:val="24"/>
        </w:rPr>
        <w:t>г. №</w:t>
      </w:r>
      <w:r w:rsidRPr="007532C7">
        <w:rPr>
          <w:rFonts w:ascii="Times New Roman" w:hAnsi="Times New Roman" w:cs="Times New Roman"/>
          <w:sz w:val="24"/>
          <w:szCs w:val="24"/>
        </w:rPr>
        <w:t xml:space="preserve"> 220-ФЗ </w:t>
      </w:r>
      <w:r w:rsidR="007532C7">
        <w:rPr>
          <w:rFonts w:ascii="Times New Roman" w:hAnsi="Times New Roman" w:cs="Times New Roman"/>
          <w:sz w:val="24"/>
          <w:szCs w:val="24"/>
        </w:rPr>
        <w:t>«</w:t>
      </w:r>
      <w:r w:rsidRPr="007532C7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7532C7">
        <w:rPr>
          <w:rFonts w:ascii="Times New Roman" w:hAnsi="Times New Roman" w:cs="Times New Roman"/>
          <w:sz w:val="24"/>
          <w:szCs w:val="24"/>
        </w:rPr>
        <w:t>»</w:t>
      </w:r>
      <w:r w:rsidRPr="007532C7">
        <w:rPr>
          <w:rFonts w:ascii="Times New Roman" w:hAnsi="Times New Roman" w:cs="Times New Roman"/>
          <w:sz w:val="24"/>
          <w:szCs w:val="24"/>
        </w:rPr>
        <w:t xml:space="preserve">, </w:t>
      </w:r>
      <w:r w:rsidR="001829C2">
        <w:rPr>
          <w:rFonts w:ascii="Times New Roman" w:hAnsi="Times New Roman" w:cs="Times New Roman"/>
          <w:sz w:val="24"/>
          <w:szCs w:val="24"/>
        </w:rPr>
        <w:br/>
        <w:t>Закона</w:t>
      </w:r>
      <w:r w:rsidRPr="007532C7">
        <w:rPr>
          <w:rFonts w:ascii="Times New Roman" w:hAnsi="Times New Roman" w:cs="Times New Roman"/>
          <w:sz w:val="24"/>
          <w:szCs w:val="24"/>
        </w:rPr>
        <w:t xml:space="preserve"> Самарской области от 18.01.2016</w:t>
      </w:r>
      <w:r w:rsidR="007532C7">
        <w:rPr>
          <w:rFonts w:ascii="Times New Roman" w:hAnsi="Times New Roman" w:cs="Times New Roman"/>
          <w:sz w:val="24"/>
          <w:szCs w:val="24"/>
        </w:rPr>
        <w:t xml:space="preserve"> г. №</w:t>
      </w:r>
      <w:r w:rsidRPr="007532C7">
        <w:rPr>
          <w:rFonts w:ascii="Times New Roman" w:hAnsi="Times New Roman" w:cs="Times New Roman"/>
          <w:sz w:val="24"/>
          <w:szCs w:val="24"/>
        </w:rPr>
        <w:t xml:space="preserve"> 14-ГД </w:t>
      </w:r>
      <w:r w:rsidR="007532C7">
        <w:rPr>
          <w:rFonts w:ascii="Times New Roman" w:hAnsi="Times New Roman" w:cs="Times New Roman"/>
          <w:sz w:val="24"/>
          <w:szCs w:val="24"/>
        </w:rPr>
        <w:t>«</w:t>
      </w:r>
      <w:r w:rsidRPr="007532C7">
        <w:rPr>
          <w:rFonts w:ascii="Times New Roman" w:hAnsi="Times New Roman" w:cs="Times New Roman"/>
          <w:sz w:val="24"/>
          <w:szCs w:val="24"/>
        </w:rPr>
        <w:t>Об организации регулярных</w:t>
      </w:r>
      <w:proofErr w:type="gramEnd"/>
      <w:r w:rsidRPr="007532C7">
        <w:rPr>
          <w:rFonts w:ascii="Times New Roman" w:hAnsi="Times New Roman" w:cs="Times New Roman"/>
          <w:sz w:val="24"/>
          <w:szCs w:val="24"/>
        </w:rPr>
        <w:t xml:space="preserve"> перевозок пассажиров и багажа автомобильным транспортом и городским наземных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</w:t>
      </w:r>
      <w:r w:rsidR="007532C7">
        <w:rPr>
          <w:rFonts w:ascii="Times New Roman" w:hAnsi="Times New Roman" w:cs="Times New Roman"/>
          <w:sz w:val="24"/>
          <w:szCs w:val="24"/>
        </w:rPr>
        <w:t>»</w:t>
      </w:r>
      <w:r w:rsidR="0044406B">
        <w:rPr>
          <w:rFonts w:ascii="Times New Roman" w:hAnsi="Times New Roman" w:cs="Times New Roman"/>
          <w:sz w:val="24"/>
          <w:szCs w:val="24"/>
        </w:rPr>
        <w:t xml:space="preserve">, а также в связи с окончанием </w:t>
      </w:r>
      <w:proofErr w:type="gramStart"/>
      <w:r w:rsidR="0044406B">
        <w:rPr>
          <w:rFonts w:ascii="Times New Roman" w:hAnsi="Times New Roman" w:cs="Times New Roman"/>
          <w:sz w:val="24"/>
          <w:szCs w:val="24"/>
        </w:rPr>
        <w:t>срока действия Документа планирования регулярных перевозок</w:t>
      </w:r>
      <w:proofErr w:type="gramEnd"/>
      <w:r w:rsidR="0044406B">
        <w:rPr>
          <w:rFonts w:ascii="Times New Roman" w:hAnsi="Times New Roman" w:cs="Times New Roman"/>
          <w:sz w:val="24"/>
          <w:szCs w:val="24"/>
        </w:rPr>
        <w:t xml:space="preserve"> городского округа Тольятти, утвержденного постановлением мэрии городского округа Тольятти от 07.06.2016 г. № 1822-п/1.</w:t>
      </w:r>
    </w:p>
    <w:p w:rsidR="00F1380B" w:rsidRPr="007532C7" w:rsidRDefault="006934F0" w:rsidP="00DB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C7">
        <w:rPr>
          <w:rFonts w:ascii="Times New Roman" w:hAnsi="Times New Roman" w:cs="Times New Roman"/>
          <w:sz w:val="24"/>
          <w:szCs w:val="24"/>
        </w:rPr>
        <w:t>Документ 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– основной документ среднесрочного планирования, </w:t>
      </w:r>
      <w:r w:rsidR="00F1380B" w:rsidRPr="007532C7">
        <w:rPr>
          <w:rFonts w:ascii="Times New Roman" w:hAnsi="Times New Roman" w:cs="Times New Roman"/>
          <w:sz w:val="24"/>
          <w:szCs w:val="24"/>
        </w:rPr>
        <w:t>разработан на 20</w:t>
      </w:r>
      <w:r w:rsidR="007532C7">
        <w:rPr>
          <w:rFonts w:ascii="Times New Roman" w:hAnsi="Times New Roman" w:cs="Times New Roman"/>
          <w:sz w:val="24"/>
          <w:szCs w:val="24"/>
        </w:rPr>
        <w:t>20</w:t>
      </w:r>
      <w:r w:rsidR="00F1380B" w:rsidRPr="007532C7">
        <w:rPr>
          <w:rFonts w:ascii="Times New Roman" w:hAnsi="Times New Roman" w:cs="Times New Roman"/>
          <w:sz w:val="24"/>
          <w:szCs w:val="24"/>
        </w:rPr>
        <w:t xml:space="preserve"> - 20</w:t>
      </w:r>
      <w:r w:rsidR="007532C7">
        <w:rPr>
          <w:rFonts w:ascii="Times New Roman" w:hAnsi="Times New Roman" w:cs="Times New Roman"/>
          <w:sz w:val="24"/>
          <w:szCs w:val="24"/>
        </w:rPr>
        <w:t>23</w:t>
      </w:r>
      <w:r w:rsidR="00F1380B" w:rsidRPr="007532C7">
        <w:rPr>
          <w:rFonts w:ascii="Times New Roman" w:hAnsi="Times New Roman" w:cs="Times New Roman"/>
          <w:sz w:val="24"/>
          <w:szCs w:val="24"/>
        </w:rPr>
        <w:t xml:space="preserve"> годы и устанавливает перечень мероприятий по развитию регулярных перевозок транспортом общего пользования</w:t>
      </w:r>
      <w:r w:rsidR="007532C7">
        <w:rPr>
          <w:rFonts w:ascii="Times New Roman" w:hAnsi="Times New Roman" w:cs="Times New Roman"/>
          <w:sz w:val="24"/>
          <w:szCs w:val="24"/>
        </w:rPr>
        <w:t xml:space="preserve"> в городском округе Тольятти</w:t>
      </w:r>
      <w:r w:rsidR="00F1380B" w:rsidRPr="007532C7">
        <w:rPr>
          <w:rFonts w:ascii="Times New Roman" w:hAnsi="Times New Roman" w:cs="Times New Roman"/>
          <w:sz w:val="24"/>
          <w:szCs w:val="24"/>
        </w:rPr>
        <w:t>.</w:t>
      </w:r>
    </w:p>
    <w:p w:rsidR="00F1380B" w:rsidRPr="007532C7" w:rsidRDefault="00F1380B" w:rsidP="00DB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C7">
        <w:rPr>
          <w:rFonts w:ascii="Times New Roman" w:hAnsi="Times New Roman" w:cs="Times New Roman"/>
          <w:sz w:val="24"/>
          <w:szCs w:val="24"/>
        </w:rPr>
        <w:t>Планируемые мероприятия направлены на создание условий, обеспечивающих удовлетворение спроса населения город</w:t>
      </w:r>
      <w:r w:rsidR="007532C7">
        <w:rPr>
          <w:rFonts w:ascii="Times New Roman" w:hAnsi="Times New Roman" w:cs="Times New Roman"/>
          <w:sz w:val="24"/>
          <w:szCs w:val="24"/>
        </w:rPr>
        <w:t>ского округа</w:t>
      </w:r>
      <w:r w:rsidRPr="007532C7">
        <w:rPr>
          <w:rFonts w:ascii="Times New Roman" w:hAnsi="Times New Roman" w:cs="Times New Roman"/>
          <w:sz w:val="24"/>
          <w:szCs w:val="24"/>
        </w:rPr>
        <w:t xml:space="preserve"> Тольятти в транспортных услугах, организацию транспортного обслуживания населения, повышение качества, эффективности и безопасности пассажирских перевозок </w:t>
      </w:r>
      <w:r w:rsidR="007532C7">
        <w:rPr>
          <w:rFonts w:ascii="Times New Roman" w:hAnsi="Times New Roman" w:cs="Times New Roman"/>
          <w:sz w:val="24"/>
          <w:szCs w:val="24"/>
        </w:rPr>
        <w:t>по</w:t>
      </w:r>
      <w:r w:rsidRPr="007532C7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7532C7">
        <w:rPr>
          <w:rFonts w:ascii="Times New Roman" w:hAnsi="Times New Roman" w:cs="Times New Roman"/>
          <w:sz w:val="24"/>
          <w:szCs w:val="24"/>
        </w:rPr>
        <w:t>м</w:t>
      </w:r>
      <w:r w:rsidRPr="007532C7">
        <w:rPr>
          <w:rFonts w:ascii="Times New Roman" w:hAnsi="Times New Roman" w:cs="Times New Roman"/>
          <w:sz w:val="24"/>
          <w:szCs w:val="24"/>
        </w:rPr>
        <w:t xml:space="preserve"> маршрута</w:t>
      </w:r>
      <w:r w:rsidR="007532C7">
        <w:rPr>
          <w:rFonts w:ascii="Times New Roman" w:hAnsi="Times New Roman" w:cs="Times New Roman"/>
          <w:sz w:val="24"/>
          <w:szCs w:val="24"/>
        </w:rPr>
        <w:t>м</w:t>
      </w:r>
      <w:r w:rsidRPr="007532C7">
        <w:rPr>
          <w:rFonts w:ascii="Times New Roman" w:hAnsi="Times New Roman" w:cs="Times New Roman"/>
          <w:sz w:val="24"/>
          <w:szCs w:val="24"/>
        </w:rPr>
        <w:t xml:space="preserve"> регулярных перевозок </w:t>
      </w:r>
      <w:r w:rsidR="007532C7">
        <w:rPr>
          <w:rFonts w:ascii="Times New Roman" w:hAnsi="Times New Roman" w:cs="Times New Roman"/>
          <w:sz w:val="24"/>
          <w:szCs w:val="24"/>
        </w:rPr>
        <w:t>(далее - муниципальный маршрут)</w:t>
      </w:r>
      <w:r w:rsidR="008967DC">
        <w:rPr>
          <w:rFonts w:ascii="Times New Roman" w:hAnsi="Times New Roman" w:cs="Times New Roman"/>
          <w:sz w:val="24"/>
          <w:szCs w:val="24"/>
        </w:rPr>
        <w:t>.</w:t>
      </w:r>
    </w:p>
    <w:p w:rsidR="006934F0" w:rsidRPr="007532C7" w:rsidRDefault="006934F0" w:rsidP="0020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0B" w:rsidRPr="007532C7" w:rsidRDefault="00F1380B" w:rsidP="002073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532C7">
        <w:rPr>
          <w:rFonts w:ascii="Times New Roman" w:hAnsi="Times New Roman" w:cs="Times New Roman"/>
          <w:b/>
          <w:bCs/>
          <w:sz w:val="24"/>
          <w:szCs w:val="24"/>
        </w:rPr>
        <w:t>II. АНАЛИЗ ТЕКУЩЕГО СОСТОЯНИЯ ОРГАНИЗАЦИИ</w:t>
      </w:r>
    </w:p>
    <w:p w:rsidR="00F1380B" w:rsidRPr="007532C7" w:rsidRDefault="00F1380B" w:rsidP="0020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2C7">
        <w:rPr>
          <w:rFonts w:ascii="Times New Roman" w:hAnsi="Times New Roman" w:cs="Times New Roman"/>
          <w:b/>
          <w:bCs/>
          <w:sz w:val="24"/>
          <w:szCs w:val="24"/>
        </w:rPr>
        <w:t>РЕГУЛЯРНЫХ ПЕРЕВОЗОК</w:t>
      </w:r>
    </w:p>
    <w:p w:rsidR="00F1380B" w:rsidRPr="007532C7" w:rsidRDefault="00F1380B" w:rsidP="0020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2C7" w:rsidRDefault="006E663E" w:rsidP="00DB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Пассажирский транспорт является важнейшим элементом сферы обслуживания  населения, без которого невозможно нормальное функционирование общества и экономики. Пассажирский транспорт должен удовлетворять потребность населения в передвижениях, вызванных производственными, бытовыми, культурными потребностями. Стабильное функционирование городского пассажирского транспорта обеспечивает достойное качество жизни населения, э</w:t>
      </w:r>
      <w:r w:rsidR="00F1380B" w:rsidRPr="007532C7">
        <w:rPr>
          <w:rFonts w:ascii="Times New Roman" w:hAnsi="Times New Roman" w:cs="Times New Roman"/>
          <w:sz w:val="24"/>
          <w:szCs w:val="24"/>
        </w:rPr>
        <w:t xml:space="preserve">ффективность работы отраслей экономики </w:t>
      </w:r>
      <w:r w:rsidR="002863C8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F1380B" w:rsidRPr="007532C7">
        <w:rPr>
          <w:rFonts w:ascii="Times New Roman" w:hAnsi="Times New Roman" w:cs="Times New Roman"/>
          <w:sz w:val="24"/>
          <w:szCs w:val="24"/>
        </w:rPr>
        <w:t>и возможност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1380B" w:rsidRPr="007532C7">
        <w:rPr>
          <w:rFonts w:ascii="Times New Roman" w:hAnsi="Times New Roman" w:cs="Times New Roman"/>
          <w:sz w:val="24"/>
          <w:szCs w:val="24"/>
        </w:rPr>
        <w:t xml:space="preserve"> использования его градостроительного и социально-экономического потенциала. </w:t>
      </w:r>
    </w:p>
    <w:p w:rsidR="002863C8" w:rsidRPr="007532C7" w:rsidRDefault="002863C8" w:rsidP="00DB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C7">
        <w:rPr>
          <w:rFonts w:ascii="Times New Roman" w:hAnsi="Times New Roman" w:cs="Times New Roman"/>
          <w:sz w:val="24"/>
          <w:szCs w:val="24"/>
        </w:rPr>
        <w:t xml:space="preserve">Основополагающая роль пассажирского транспорта заключается в экономии времени населения, затрачиваемого на передвижение, увеличении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7532C7">
        <w:rPr>
          <w:rFonts w:ascii="Times New Roman" w:hAnsi="Times New Roman" w:cs="Times New Roman"/>
          <w:sz w:val="24"/>
          <w:szCs w:val="24"/>
        </w:rPr>
        <w:t xml:space="preserve"> поездок.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532C7">
        <w:rPr>
          <w:rFonts w:ascii="Times New Roman" w:hAnsi="Times New Roman" w:cs="Times New Roman"/>
          <w:sz w:val="24"/>
          <w:szCs w:val="24"/>
        </w:rPr>
        <w:t>ородской пассажирский транспорт обеспечивает функционирование отраслей хозяйственного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путем доставки сотрудников предприятий, организаций </w:t>
      </w:r>
      <w:r w:rsidRPr="007532C7">
        <w:rPr>
          <w:rFonts w:ascii="Times New Roman" w:hAnsi="Times New Roman" w:cs="Times New Roman"/>
          <w:sz w:val="24"/>
          <w:szCs w:val="24"/>
        </w:rPr>
        <w:t>к рабочим местам. Социальный эффект от развития городского пассажирского транспорта проявляется в улучшении доступности учреждений образования, медицины, культуры, торговли, что способствует удовлетворению спроса населения на различные услуги.</w:t>
      </w:r>
    </w:p>
    <w:p w:rsidR="00DB0346" w:rsidRDefault="00F1380B" w:rsidP="00DB0346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7532C7">
        <w:rPr>
          <w:sz w:val="24"/>
          <w:szCs w:val="24"/>
        </w:rPr>
        <w:t xml:space="preserve">Городской округ Тольятти </w:t>
      </w:r>
      <w:r w:rsidR="007532C7">
        <w:rPr>
          <w:sz w:val="24"/>
          <w:szCs w:val="24"/>
        </w:rPr>
        <w:t xml:space="preserve">сформирован из трех районов </w:t>
      </w:r>
      <w:r w:rsidR="007532C7" w:rsidRPr="007532C7">
        <w:rPr>
          <w:sz w:val="24"/>
          <w:szCs w:val="24"/>
        </w:rPr>
        <w:t>(Автозаводск</w:t>
      </w:r>
      <w:r w:rsidR="007532C7">
        <w:rPr>
          <w:sz w:val="24"/>
          <w:szCs w:val="24"/>
        </w:rPr>
        <w:t>ий, Центральный и Комсомольский</w:t>
      </w:r>
      <w:r w:rsidR="007532C7" w:rsidRPr="007532C7">
        <w:rPr>
          <w:sz w:val="24"/>
          <w:szCs w:val="24"/>
        </w:rPr>
        <w:t>)</w:t>
      </w:r>
      <w:r w:rsidR="007532C7">
        <w:rPr>
          <w:sz w:val="24"/>
          <w:szCs w:val="24"/>
        </w:rPr>
        <w:t xml:space="preserve"> </w:t>
      </w:r>
      <w:r w:rsidR="007532C7" w:rsidRPr="007532C7">
        <w:rPr>
          <w:sz w:val="24"/>
          <w:szCs w:val="24"/>
        </w:rPr>
        <w:t xml:space="preserve">разных планировочных решений. </w:t>
      </w:r>
      <w:r w:rsidR="00DB0346">
        <w:rPr>
          <w:sz w:val="24"/>
          <w:szCs w:val="24"/>
        </w:rPr>
        <w:t xml:space="preserve"> Все три района города</w:t>
      </w:r>
    </w:p>
    <w:p w:rsidR="00DB0346" w:rsidRDefault="00DB0346" w:rsidP="000718BC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</w:p>
    <w:p w:rsidR="00DB0346" w:rsidRDefault="00DB0346" w:rsidP="000718BC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</w:p>
    <w:p w:rsidR="000718BC" w:rsidRPr="00330A20" w:rsidRDefault="007532C7" w:rsidP="00DB0346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532C7">
        <w:rPr>
          <w:sz w:val="24"/>
          <w:szCs w:val="24"/>
        </w:rPr>
        <w:t>вытянуты вдоль течения Волги</w:t>
      </w:r>
      <w:r w:rsidR="00324788">
        <w:rPr>
          <w:sz w:val="24"/>
          <w:szCs w:val="24"/>
        </w:rPr>
        <w:t xml:space="preserve"> на расстоянии 40 км.</w:t>
      </w:r>
      <w:r w:rsidRPr="007532C7">
        <w:rPr>
          <w:sz w:val="24"/>
          <w:szCs w:val="24"/>
        </w:rPr>
        <w:t xml:space="preserve"> Расстояние между Центральным и Комсомольским районами </w:t>
      </w:r>
      <w:r w:rsidR="00324788">
        <w:rPr>
          <w:sz w:val="24"/>
          <w:szCs w:val="24"/>
        </w:rPr>
        <w:t>–</w:t>
      </w:r>
      <w:r w:rsidRPr="007532C7">
        <w:rPr>
          <w:sz w:val="24"/>
          <w:szCs w:val="24"/>
        </w:rPr>
        <w:t xml:space="preserve"> 5-7 к</w:t>
      </w:r>
      <w:r w:rsidR="00324788">
        <w:rPr>
          <w:sz w:val="24"/>
          <w:szCs w:val="24"/>
        </w:rPr>
        <w:t>м</w:t>
      </w:r>
      <w:r w:rsidRPr="007532C7">
        <w:rPr>
          <w:sz w:val="24"/>
          <w:szCs w:val="24"/>
        </w:rPr>
        <w:t xml:space="preserve">, между Центральным и Автозаводским </w:t>
      </w:r>
      <w:r w:rsidR="00324788">
        <w:rPr>
          <w:sz w:val="24"/>
          <w:szCs w:val="24"/>
        </w:rPr>
        <w:t>–</w:t>
      </w:r>
      <w:r w:rsidRPr="007532C7">
        <w:rPr>
          <w:sz w:val="24"/>
          <w:szCs w:val="24"/>
        </w:rPr>
        <w:t xml:space="preserve"> около 3</w:t>
      </w:r>
      <w:r w:rsidR="00324788">
        <w:rPr>
          <w:sz w:val="24"/>
          <w:szCs w:val="24"/>
        </w:rPr>
        <w:t xml:space="preserve"> км</w:t>
      </w:r>
      <w:r w:rsidRPr="007532C7">
        <w:rPr>
          <w:sz w:val="24"/>
          <w:szCs w:val="24"/>
        </w:rPr>
        <w:t>.</w:t>
      </w:r>
      <w:r w:rsidR="00324788">
        <w:rPr>
          <w:sz w:val="24"/>
          <w:szCs w:val="24"/>
        </w:rPr>
        <w:t xml:space="preserve"> Все три района города имеют </w:t>
      </w:r>
      <w:r w:rsidR="002863C8">
        <w:rPr>
          <w:sz w:val="24"/>
          <w:szCs w:val="24"/>
        </w:rPr>
        <w:t xml:space="preserve">достаточно развитое </w:t>
      </w:r>
      <w:r w:rsidR="001A5B84">
        <w:rPr>
          <w:sz w:val="24"/>
          <w:szCs w:val="24"/>
        </w:rPr>
        <w:t>транспортное сообщение как внутри районов, так и между районами.</w:t>
      </w:r>
      <w:r w:rsidR="000718BC">
        <w:rPr>
          <w:sz w:val="24"/>
          <w:szCs w:val="24"/>
        </w:rPr>
        <w:t xml:space="preserve"> </w:t>
      </w:r>
      <w:r w:rsidR="000718BC" w:rsidRPr="00330A20">
        <w:rPr>
          <w:sz w:val="24"/>
          <w:szCs w:val="24"/>
        </w:rPr>
        <w:t xml:space="preserve">Маршрутная сеть наземного общественного пассажирского транспорта </w:t>
      </w:r>
      <w:r w:rsidR="000718BC">
        <w:rPr>
          <w:sz w:val="24"/>
          <w:szCs w:val="24"/>
        </w:rPr>
        <w:t xml:space="preserve">городского округа </w:t>
      </w:r>
      <w:r w:rsidR="000718BC" w:rsidRPr="00330A20">
        <w:rPr>
          <w:sz w:val="24"/>
          <w:szCs w:val="24"/>
        </w:rPr>
        <w:t>Тольятти практически полностью охватывает жилые, производственные районы города, транспортные узлы, места приложения труда и отдыха населения.</w:t>
      </w:r>
    </w:p>
    <w:p w:rsidR="00F1380B" w:rsidRDefault="00F1380B" w:rsidP="00DB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2C7">
        <w:rPr>
          <w:rFonts w:ascii="Times New Roman" w:hAnsi="Times New Roman" w:cs="Times New Roman"/>
          <w:sz w:val="24"/>
          <w:szCs w:val="24"/>
        </w:rPr>
        <w:t xml:space="preserve">Спецификой пассажирских перевозок в городском округе </w:t>
      </w:r>
      <w:r w:rsidR="00C100E2">
        <w:rPr>
          <w:rFonts w:ascii="Times New Roman" w:hAnsi="Times New Roman" w:cs="Times New Roman"/>
          <w:sz w:val="24"/>
          <w:szCs w:val="24"/>
        </w:rPr>
        <w:t xml:space="preserve">Тольятти </w:t>
      </w:r>
      <w:r w:rsidRPr="007532C7">
        <w:rPr>
          <w:rFonts w:ascii="Times New Roman" w:hAnsi="Times New Roman" w:cs="Times New Roman"/>
          <w:sz w:val="24"/>
          <w:szCs w:val="24"/>
        </w:rPr>
        <w:t>является необходимость организации пассажирских перевозок по территории города и одновременно осуществление массовых перевозок в "пиковом" режиме на промышленные предприятия города (</w:t>
      </w:r>
      <w:proofErr w:type="spellStart"/>
      <w:r w:rsidRPr="007532C7">
        <w:rPr>
          <w:rFonts w:ascii="Times New Roman" w:hAnsi="Times New Roman" w:cs="Times New Roman"/>
          <w:sz w:val="24"/>
          <w:szCs w:val="24"/>
        </w:rPr>
        <w:t>промплощадка</w:t>
      </w:r>
      <w:proofErr w:type="spellEnd"/>
      <w:r w:rsidRPr="007532C7">
        <w:rPr>
          <w:rFonts w:ascii="Times New Roman" w:hAnsi="Times New Roman" w:cs="Times New Roman"/>
          <w:sz w:val="24"/>
          <w:szCs w:val="24"/>
        </w:rPr>
        <w:t xml:space="preserve"> АО </w:t>
      </w:r>
      <w:r w:rsidR="00C100E2">
        <w:rPr>
          <w:rFonts w:ascii="Times New Roman" w:hAnsi="Times New Roman" w:cs="Times New Roman"/>
          <w:sz w:val="24"/>
          <w:szCs w:val="24"/>
        </w:rPr>
        <w:t>«</w:t>
      </w:r>
      <w:r w:rsidRPr="007532C7">
        <w:rPr>
          <w:rFonts w:ascii="Times New Roman" w:hAnsi="Times New Roman" w:cs="Times New Roman"/>
          <w:sz w:val="24"/>
          <w:szCs w:val="24"/>
        </w:rPr>
        <w:t>АВТОВАЗ</w:t>
      </w:r>
      <w:r w:rsidR="00C100E2">
        <w:rPr>
          <w:rFonts w:ascii="Times New Roman" w:hAnsi="Times New Roman" w:cs="Times New Roman"/>
          <w:sz w:val="24"/>
          <w:szCs w:val="24"/>
        </w:rPr>
        <w:t>»</w:t>
      </w:r>
      <w:r w:rsidRPr="007532C7">
        <w:rPr>
          <w:rFonts w:ascii="Times New Roman" w:hAnsi="Times New Roman" w:cs="Times New Roman"/>
          <w:sz w:val="24"/>
          <w:szCs w:val="24"/>
        </w:rPr>
        <w:t>, Северная группа заводов, ОАО "</w:t>
      </w:r>
      <w:proofErr w:type="spellStart"/>
      <w:r w:rsidRPr="007532C7">
        <w:rPr>
          <w:rFonts w:ascii="Times New Roman" w:hAnsi="Times New Roman" w:cs="Times New Roman"/>
          <w:sz w:val="24"/>
          <w:szCs w:val="24"/>
        </w:rPr>
        <w:t>ТольяттиАзот</w:t>
      </w:r>
      <w:proofErr w:type="spellEnd"/>
      <w:r w:rsidRPr="007532C7">
        <w:rPr>
          <w:rFonts w:ascii="Times New Roman" w:hAnsi="Times New Roman" w:cs="Times New Roman"/>
          <w:sz w:val="24"/>
          <w:szCs w:val="24"/>
        </w:rPr>
        <w:t>"), которые расположены на удалении от селитебной зоны, что требует организации работы отдельных маршрутов до промпредприятий, которые необходимо организовать без ущерба транспортной доступности жителей по территории</w:t>
      </w:r>
      <w:proofErr w:type="gramEnd"/>
      <w:r w:rsidRPr="007532C7">
        <w:rPr>
          <w:rFonts w:ascii="Times New Roman" w:hAnsi="Times New Roman" w:cs="Times New Roman"/>
          <w:sz w:val="24"/>
          <w:szCs w:val="24"/>
        </w:rPr>
        <w:t xml:space="preserve"> селитебной зоны города.</w:t>
      </w:r>
    </w:p>
    <w:p w:rsidR="004E2782" w:rsidRPr="007532C7" w:rsidRDefault="004E2782" w:rsidP="004E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C7">
        <w:rPr>
          <w:rFonts w:ascii="Times New Roman" w:hAnsi="Times New Roman" w:cs="Times New Roman"/>
          <w:sz w:val="24"/>
          <w:szCs w:val="24"/>
        </w:rPr>
        <w:t>Система городского пассажирского транспорта городского округа Тольятти является комбинированной, состоящей из троллейбусного и автобусного транспорта.</w:t>
      </w:r>
    </w:p>
    <w:p w:rsidR="004E2782" w:rsidRDefault="006E7934" w:rsidP="006E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2015 – 2019 гг. регулярные перевозки по муниципальным маршрутам осуществлялись по договорам об осуществлении регулярных перевозок по внутримуниципальным маршрутам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Тольятти, заключенным мэрией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Тольятти с организациями-перевозчиками по результатам открытого конкурса. 31.12.2019 г. срок действия договоров закончился. В связи с этим во исполнение требований законодательных актов Российской Федерации, Самарской области администрацией городского округа Тольятти проведены конкурсы</w:t>
      </w:r>
      <w:r w:rsidR="004E2782">
        <w:rPr>
          <w:rFonts w:ascii="Times New Roman" w:hAnsi="Times New Roman" w:cs="Times New Roman"/>
          <w:sz w:val="24"/>
          <w:szCs w:val="24"/>
        </w:rPr>
        <w:t>:</w:t>
      </w:r>
    </w:p>
    <w:p w:rsidR="004E2782" w:rsidRDefault="004E2782" w:rsidP="006E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7934">
        <w:rPr>
          <w:rFonts w:ascii="Times New Roman" w:hAnsi="Times New Roman" w:cs="Times New Roman"/>
          <w:sz w:val="24"/>
          <w:szCs w:val="24"/>
        </w:rPr>
        <w:t xml:space="preserve"> </w:t>
      </w:r>
      <w:r w:rsidR="006E7934" w:rsidRPr="006E7934">
        <w:rPr>
          <w:rFonts w:ascii="Times New Roman" w:hAnsi="Times New Roman" w:cs="Times New Roman"/>
          <w:iCs/>
          <w:sz w:val="24"/>
          <w:szCs w:val="24"/>
        </w:rPr>
        <w:t>на выполнение работ, связанных с осуществлением регулярных перевозок пассажиров и багажа по регулируемым тарифам по муниципальным маршрутам городского округа Тол</w:t>
      </w:r>
      <w:r w:rsidR="006E7934">
        <w:rPr>
          <w:rFonts w:ascii="Times New Roman" w:hAnsi="Times New Roman" w:cs="Times New Roman"/>
          <w:iCs/>
          <w:sz w:val="24"/>
          <w:szCs w:val="24"/>
        </w:rPr>
        <w:t>ьятти автомобильным транспортом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4E2782" w:rsidRPr="004E2782" w:rsidRDefault="004E2782" w:rsidP="006E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E79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E7934">
        <w:rPr>
          <w:rFonts w:ascii="Times New Roman" w:hAnsi="Times New Roman" w:cs="Times New Roman"/>
          <w:iCs/>
          <w:sz w:val="24"/>
          <w:szCs w:val="24"/>
        </w:rPr>
        <w:t>на выполнение работ, связанных с осуществлением регулярных перевозок пассажиров и багажа по регулируемым тарифам по муниципальным маршрутам городского округа Тол</w:t>
      </w:r>
      <w:r>
        <w:rPr>
          <w:rFonts w:ascii="Times New Roman" w:hAnsi="Times New Roman" w:cs="Times New Roman"/>
          <w:iCs/>
          <w:sz w:val="24"/>
          <w:szCs w:val="24"/>
        </w:rPr>
        <w:t xml:space="preserve">ьятти </w:t>
      </w:r>
      <w:r w:rsidR="006E7934" w:rsidRPr="004E2782">
        <w:rPr>
          <w:rFonts w:ascii="Times New Roman" w:hAnsi="Times New Roman" w:cs="Times New Roman"/>
          <w:iCs/>
          <w:sz w:val="24"/>
          <w:szCs w:val="24"/>
        </w:rPr>
        <w:t>городским наземным электрическим транспортом</w:t>
      </w:r>
      <w:r w:rsidRPr="004E2782">
        <w:rPr>
          <w:rFonts w:ascii="Times New Roman" w:hAnsi="Times New Roman" w:cs="Times New Roman"/>
          <w:iCs/>
          <w:sz w:val="24"/>
          <w:szCs w:val="24"/>
        </w:rPr>
        <w:t>;</w:t>
      </w:r>
    </w:p>
    <w:p w:rsidR="006E7934" w:rsidRDefault="004E2782" w:rsidP="006E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2782">
        <w:rPr>
          <w:rFonts w:ascii="Times New Roman" w:hAnsi="Times New Roman" w:cs="Times New Roman"/>
          <w:iCs/>
          <w:sz w:val="24"/>
          <w:szCs w:val="24"/>
        </w:rPr>
        <w:t xml:space="preserve">- на право получения </w:t>
      </w:r>
      <w:r w:rsidRPr="004E2782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2782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одному или нескольким муниципальным маршрутам регулярных перевозок по нерегулируемым тарифам</w:t>
      </w:r>
      <w:r>
        <w:rPr>
          <w:rFonts w:ascii="Times New Roman" w:hAnsi="Times New Roman" w:cs="Times New Roman"/>
          <w:sz w:val="24"/>
          <w:szCs w:val="24"/>
        </w:rPr>
        <w:t xml:space="preserve"> (основание – изменение вида регулярных перевозок – установление регулярных перевозок по </w:t>
      </w:r>
      <w:r w:rsidRPr="004E2782">
        <w:rPr>
          <w:rFonts w:ascii="Times New Roman" w:hAnsi="Times New Roman" w:cs="Times New Roman"/>
          <w:sz w:val="24"/>
          <w:szCs w:val="24"/>
        </w:rPr>
        <w:t>нерегулируемым тарифам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E2782">
        <w:rPr>
          <w:rFonts w:ascii="Times New Roman" w:hAnsi="Times New Roman" w:cs="Times New Roman"/>
          <w:sz w:val="24"/>
          <w:szCs w:val="24"/>
        </w:rPr>
        <w:t>.</w:t>
      </w:r>
      <w:r w:rsidR="006E7934" w:rsidRPr="004E278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E2782" w:rsidRPr="004E2782" w:rsidRDefault="004E2782" w:rsidP="006E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Перевозчикам, осуществляющим в период 2015-2019 гг. регулярные перевозки по </w:t>
      </w:r>
      <w:r w:rsidRPr="004E2782">
        <w:rPr>
          <w:rFonts w:ascii="Times New Roman" w:hAnsi="Times New Roman" w:cs="Times New Roman"/>
          <w:sz w:val="24"/>
          <w:szCs w:val="24"/>
        </w:rPr>
        <w:t>нерегулируемым тарифам</w:t>
      </w:r>
      <w:r>
        <w:rPr>
          <w:rFonts w:ascii="Times New Roman" w:hAnsi="Times New Roman" w:cs="Times New Roman"/>
          <w:sz w:val="24"/>
          <w:szCs w:val="24"/>
        </w:rPr>
        <w:t xml:space="preserve">, оформлены и выданы </w:t>
      </w:r>
      <w:r w:rsidRPr="004E2782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2782">
        <w:rPr>
          <w:rFonts w:ascii="Times New Roman" w:hAnsi="Times New Roman" w:cs="Times New Roman"/>
          <w:sz w:val="24"/>
          <w:szCs w:val="24"/>
        </w:rPr>
        <w:t xml:space="preserve"> об осуществлении перевозок</w:t>
      </w:r>
      <w:r>
        <w:rPr>
          <w:rFonts w:ascii="Times New Roman" w:hAnsi="Times New Roman" w:cs="Times New Roman"/>
          <w:sz w:val="24"/>
          <w:szCs w:val="24"/>
        </w:rPr>
        <w:t xml:space="preserve"> по маршрутам регулярных перевозок.</w:t>
      </w:r>
    </w:p>
    <w:p w:rsidR="00F1380B" w:rsidRPr="007532C7" w:rsidRDefault="004E2782" w:rsidP="00DB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 01.01.2020 г. р</w:t>
      </w:r>
      <w:r w:rsidR="00F1380B" w:rsidRPr="007532C7">
        <w:rPr>
          <w:rFonts w:ascii="Times New Roman" w:hAnsi="Times New Roman" w:cs="Times New Roman"/>
          <w:sz w:val="24"/>
          <w:szCs w:val="24"/>
        </w:rPr>
        <w:t>егулярные перевозки в городском округе Тольятти осуществляют 1</w:t>
      </w:r>
      <w:r w:rsidR="00C100E2">
        <w:rPr>
          <w:rFonts w:ascii="Times New Roman" w:hAnsi="Times New Roman" w:cs="Times New Roman"/>
          <w:sz w:val="24"/>
          <w:szCs w:val="24"/>
        </w:rPr>
        <w:t>3</w:t>
      </w:r>
      <w:r w:rsidR="00F1380B" w:rsidRPr="007532C7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C100E2">
        <w:rPr>
          <w:rFonts w:ascii="Times New Roman" w:hAnsi="Times New Roman" w:cs="Times New Roman"/>
          <w:sz w:val="24"/>
          <w:szCs w:val="24"/>
        </w:rPr>
        <w:t xml:space="preserve"> </w:t>
      </w:r>
      <w:r w:rsidR="00F1380B" w:rsidRPr="003710FB">
        <w:rPr>
          <w:rFonts w:ascii="Times New Roman" w:hAnsi="Times New Roman" w:cs="Times New Roman"/>
          <w:sz w:val="24"/>
          <w:szCs w:val="24"/>
        </w:rPr>
        <w:t xml:space="preserve">по </w:t>
      </w:r>
      <w:r w:rsidR="003710FB" w:rsidRPr="003710FB">
        <w:rPr>
          <w:rFonts w:ascii="Times New Roman" w:hAnsi="Times New Roman" w:cs="Times New Roman"/>
          <w:sz w:val="24"/>
          <w:szCs w:val="24"/>
        </w:rPr>
        <w:t>10</w:t>
      </w:r>
      <w:r w:rsidR="002863C8">
        <w:rPr>
          <w:rFonts w:ascii="Times New Roman" w:hAnsi="Times New Roman" w:cs="Times New Roman"/>
          <w:sz w:val="24"/>
          <w:szCs w:val="24"/>
        </w:rPr>
        <w:t>4</w:t>
      </w:r>
      <w:r w:rsidR="00F1380B" w:rsidRPr="003710FB">
        <w:rPr>
          <w:rFonts w:ascii="Times New Roman" w:hAnsi="Times New Roman" w:cs="Times New Roman"/>
          <w:sz w:val="24"/>
          <w:szCs w:val="24"/>
        </w:rPr>
        <w:t xml:space="preserve"> муниципальным маршрутам</w:t>
      </w:r>
      <w:r w:rsidR="00A60975">
        <w:rPr>
          <w:rFonts w:ascii="Times New Roman" w:hAnsi="Times New Roman" w:cs="Times New Roman"/>
          <w:sz w:val="24"/>
          <w:szCs w:val="24"/>
        </w:rPr>
        <w:t>.</w:t>
      </w:r>
    </w:p>
    <w:p w:rsidR="003710FB" w:rsidRDefault="00A60975" w:rsidP="00DB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Регулярные перевозки осуществляются</w:t>
      </w:r>
      <w:r w:rsidR="00A90A4F">
        <w:rPr>
          <w:rFonts w:ascii="Times New Roman" w:hAnsi="Times New Roman" w:cs="Times New Roman"/>
          <w:sz w:val="24"/>
          <w:szCs w:val="24"/>
        </w:rPr>
        <w:t>:</w:t>
      </w:r>
    </w:p>
    <w:p w:rsidR="003710FB" w:rsidRDefault="00A90A4F" w:rsidP="00DB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</w:t>
      </w:r>
      <w:r w:rsidR="00A60975" w:rsidRPr="00C100E2">
        <w:rPr>
          <w:rFonts w:ascii="Times New Roman" w:hAnsi="Times New Roman" w:cs="Times New Roman"/>
          <w:sz w:val="24"/>
          <w:szCs w:val="24"/>
        </w:rPr>
        <w:t xml:space="preserve"> регулируемым тарифам</w:t>
      </w:r>
      <w:r w:rsidR="00A60975">
        <w:rPr>
          <w:rFonts w:ascii="Times New Roman" w:hAnsi="Times New Roman" w:cs="Times New Roman"/>
          <w:sz w:val="24"/>
          <w:szCs w:val="24"/>
        </w:rPr>
        <w:t xml:space="preserve"> (</w:t>
      </w:r>
      <w:r w:rsidR="003710FB">
        <w:rPr>
          <w:rFonts w:ascii="Times New Roman" w:hAnsi="Times New Roman" w:cs="Times New Roman"/>
          <w:sz w:val="24"/>
          <w:szCs w:val="24"/>
        </w:rPr>
        <w:t>50</w:t>
      </w:r>
      <w:r w:rsidR="00A60975">
        <w:rPr>
          <w:rFonts w:ascii="Times New Roman" w:hAnsi="Times New Roman" w:cs="Times New Roman"/>
          <w:sz w:val="24"/>
          <w:szCs w:val="24"/>
        </w:rPr>
        <w:t xml:space="preserve"> маршрутов)</w:t>
      </w:r>
      <w:r w:rsidR="003710FB">
        <w:rPr>
          <w:rFonts w:ascii="Times New Roman" w:hAnsi="Times New Roman" w:cs="Times New Roman"/>
          <w:sz w:val="24"/>
          <w:szCs w:val="24"/>
        </w:rPr>
        <w:t>:</w:t>
      </w:r>
    </w:p>
    <w:p w:rsidR="003710FB" w:rsidRPr="007532C7" w:rsidRDefault="00A90A4F" w:rsidP="00DB034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МП </w:t>
      </w:r>
      <w:r w:rsidR="003710FB">
        <w:rPr>
          <w:rFonts w:ascii="Times New Roman" w:hAnsi="Times New Roman" w:cs="Times New Roman"/>
          <w:sz w:val="24"/>
          <w:szCs w:val="24"/>
        </w:rPr>
        <w:t>«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Тольяттинское пассажирское автотранспортное предприятие </w:t>
      </w:r>
      <w:r w:rsidR="003710FB">
        <w:rPr>
          <w:rFonts w:ascii="Times New Roman" w:hAnsi="Times New Roman" w:cs="Times New Roman"/>
          <w:sz w:val="24"/>
          <w:szCs w:val="24"/>
        </w:rPr>
        <w:t>№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 3</w:t>
      </w:r>
      <w:r w:rsidR="003710FB">
        <w:rPr>
          <w:rFonts w:ascii="Times New Roman" w:hAnsi="Times New Roman" w:cs="Times New Roman"/>
          <w:sz w:val="24"/>
          <w:szCs w:val="24"/>
        </w:rPr>
        <w:t>»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 </w:t>
      </w:r>
      <w:r w:rsidR="003710FB" w:rsidRPr="00A60975">
        <w:rPr>
          <w:rFonts w:ascii="Times New Roman" w:hAnsi="Times New Roman" w:cs="Times New Roman"/>
          <w:sz w:val="24"/>
          <w:szCs w:val="24"/>
        </w:rPr>
        <w:t xml:space="preserve">– по 39 </w:t>
      </w:r>
      <w:r w:rsidR="003710FB" w:rsidRPr="00C100E2">
        <w:rPr>
          <w:rFonts w:ascii="Times New Roman" w:hAnsi="Times New Roman" w:cs="Times New Roman"/>
          <w:sz w:val="24"/>
          <w:szCs w:val="24"/>
        </w:rPr>
        <w:t xml:space="preserve">маршрутам </w:t>
      </w:r>
      <w:r w:rsidR="003710FB" w:rsidRPr="007532C7">
        <w:rPr>
          <w:rFonts w:ascii="Times New Roman" w:hAnsi="Times New Roman" w:cs="Times New Roman"/>
          <w:sz w:val="24"/>
          <w:szCs w:val="24"/>
        </w:rPr>
        <w:t>(</w:t>
      </w:r>
      <w:r w:rsidR="003710FB">
        <w:rPr>
          <w:rFonts w:ascii="Times New Roman" w:hAnsi="Times New Roman" w:cs="Times New Roman"/>
          <w:sz w:val="24"/>
          <w:szCs w:val="24"/>
        </w:rPr>
        <w:t>№№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 2, </w:t>
      </w:r>
      <w:r w:rsidR="003710FB">
        <w:rPr>
          <w:rFonts w:ascii="Times New Roman" w:hAnsi="Times New Roman" w:cs="Times New Roman"/>
          <w:sz w:val="24"/>
          <w:szCs w:val="24"/>
        </w:rPr>
        <w:t>6, 8, 9,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 13, 14</w:t>
      </w:r>
      <w:r w:rsidR="003710FB">
        <w:rPr>
          <w:rFonts w:ascii="Times New Roman" w:hAnsi="Times New Roman" w:cs="Times New Roman"/>
          <w:sz w:val="24"/>
          <w:szCs w:val="24"/>
        </w:rPr>
        <w:t>в</w:t>
      </w:r>
      <w:r w:rsidR="003710FB" w:rsidRPr="007532C7">
        <w:rPr>
          <w:rFonts w:ascii="Times New Roman" w:hAnsi="Times New Roman" w:cs="Times New Roman"/>
          <w:sz w:val="24"/>
          <w:szCs w:val="24"/>
        </w:rPr>
        <w:t>, 16</w:t>
      </w:r>
      <w:r w:rsidR="003710FB">
        <w:rPr>
          <w:rFonts w:ascii="Times New Roman" w:hAnsi="Times New Roman" w:cs="Times New Roman"/>
          <w:sz w:val="24"/>
          <w:szCs w:val="24"/>
        </w:rPr>
        <w:t>в</w:t>
      </w:r>
      <w:r w:rsidR="003710FB" w:rsidRPr="007532C7">
        <w:rPr>
          <w:rFonts w:ascii="Times New Roman" w:hAnsi="Times New Roman" w:cs="Times New Roman"/>
          <w:sz w:val="24"/>
          <w:szCs w:val="24"/>
        </w:rPr>
        <w:t>, 1</w:t>
      </w:r>
      <w:r w:rsidR="003710FB">
        <w:rPr>
          <w:rFonts w:ascii="Times New Roman" w:hAnsi="Times New Roman" w:cs="Times New Roman"/>
          <w:sz w:val="24"/>
          <w:szCs w:val="24"/>
        </w:rPr>
        <w:t>7</w:t>
      </w:r>
      <w:r w:rsidR="003710FB" w:rsidRPr="007532C7">
        <w:rPr>
          <w:rFonts w:ascii="Times New Roman" w:hAnsi="Times New Roman" w:cs="Times New Roman"/>
          <w:sz w:val="24"/>
          <w:szCs w:val="24"/>
        </w:rPr>
        <w:t>, 1</w:t>
      </w:r>
      <w:r w:rsidR="003710FB">
        <w:rPr>
          <w:rFonts w:ascii="Times New Roman" w:hAnsi="Times New Roman" w:cs="Times New Roman"/>
          <w:sz w:val="24"/>
          <w:szCs w:val="24"/>
        </w:rPr>
        <w:t xml:space="preserve">8в, 20, </w:t>
      </w:r>
      <w:r w:rsidR="003710FB" w:rsidRPr="007532C7">
        <w:rPr>
          <w:rFonts w:ascii="Times New Roman" w:hAnsi="Times New Roman" w:cs="Times New Roman"/>
          <w:sz w:val="24"/>
          <w:szCs w:val="24"/>
        </w:rPr>
        <w:t>21</w:t>
      </w:r>
      <w:r w:rsidR="003710FB">
        <w:rPr>
          <w:rFonts w:ascii="Times New Roman" w:hAnsi="Times New Roman" w:cs="Times New Roman"/>
          <w:sz w:val="24"/>
          <w:szCs w:val="24"/>
        </w:rPr>
        <w:t>в</w:t>
      </w:r>
      <w:r w:rsidR="003710FB" w:rsidRPr="007532C7">
        <w:rPr>
          <w:rFonts w:ascii="Times New Roman" w:hAnsi="Times New Roman" w:cs="Times New Roman"/>
          <w:sz w:val="24"/>
          <w:szCs w:val="24"/>
        </w:rPr>
        <w:t>, 23</w:t>
      </w:r>
      <w:r w:rsidR="003710FB">
        <w:rPr>
          <w:rFonts w:ascii="Times New Roman" w:hAnsi="Times New Roman" w:cs="Times New Roman"/>
          <w:sz w:val="24"/>
          <w:szCs w:val="24"/>
        </w:rPr>
        <w:t>в</w:t>
      </w:r>
      <w:r w:rsidR="003710FB" w:rsidRPr="007532C7">
        <w:rPr>
          <w:rFonts w:ascii="Times New Roman" w:hAnsi="Times New Roman" w:cs="Times New Roman"/>
          <w:sz w:val="24"/>
          <w:szCs w:val="24"/>
        </w:rPr>
        <w:t>, 24</w:t>
      </w:r>
      <w:r w:rsidR="003710FB">
        <w:rPr>
          <w:rFonts w:ascii="Times New Roman" w:hAnsi="Times New Roman" w:cs="Times New Roman"/>
          <w:sz w:val="24"/>
          <w:szCs w:val="24"/>
        </w:rPr>
        <w:t>в</w:t>
      </w:r>
      <w:r w:rsidR="003710FB" w:rsidRPr="007532C7">
        <w:rPr>
          <w:rFonts w:ascii="Times New Roman" w:hAnsi="Times New Roman" w:cs="Times New Roman"/>
          <w:sz w:val="24"/>
          <w:szCs w:val="24"/>
        </w:rPr>
        <w:t>, 28</w:t>
      </w:r>
      <w:r w:rsidR="003710FB">
        <w:rPr>
          <w:rFonts w:ascii="Times New Roman" w:hAnsi="Times New Roman" w:cs="Times New Roman"/>
          <w:sz w:val="24"/>
          <w:szCs w:val="24"/>
        </w:rPr>
        <w:t>в</w:t>
      </w:r>
      <w:r w:rsidR="003710FB" w:rsidRPr="007532C7">
        <w:rPr>
          <w:rFonts w:ascii="Times New Roman" w:hAnsi="Times New Roman" w:cs="Times New Roman"/>
          <w:sz w:val="24"/>
          <w:szCs w:val="24"/>
        </w:rPr>
        <w:t>, 36</w:t>
      </w:r>
      <w:r w:rsidR="003710FB">
        <w:rPr>
          <w:rFonts w:ascii="Times New Roman" w:hAnsi="Times New Roman" w:cs="Times New Roman"/>
          <w:sz w:val="24"/>
          <w:szCs w:val="24"/>
        </w:rPr>
        <w:t>в</w:t>
      </w:r>
      <w:r w:rsidR="003710FB" w:rsidRPr="007532C7">
        <w:rPr>
          <w:rFonts w:ascii="Times New Roman" w:hAnsi="Times New Roman" w:cs="Times New Roman"/>
          <w:sz w:val="24"/>
          <w:szCs w:val="24"/>
        </w:rPr>
        <w:t>, 38</w:t>
      </w:r>
      <w:r w:rsidR="003710FB">
        <w:rPr>
          <w:rFonts w:ascii="Times New Roman" w:hAnsi="Times New Roman" w:cs="Times New Roman"/>
          <w:sz w:val="24"/>
          <w:szCs w:val="24"/>
        </w:rPr>
        <w:t>в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, 40, </w:t>
      </w:r>
      <w:r w:rsidR="003710FB">
        <w:rPr>
          <w:rFonts w:ascii="Times New Roman" w:hAnsi="Times New Roman" w:cs="Times New Roman"/>
          <w:sz w:val="24"/>
          <w:szCs w:val="24"/>
        </w:rPr>
        <w:t xml:space="preserve">41, 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42, 46, </w:t>
      </w:r>
      <w:r w:rsidR="003710FB">
        <w:rPr>
          <w:rFonts w:ascii="Times New Roman" w:hAnsi="Times New Roman" w:cs="Times New Roman"/>
          <w:sz w:val="24"/>
          <w:szCs w:val="24"/>
        </w:rPr>
        <w:t xml:space="preserve">52, 62, </w:t>
      </w:r>
      <w:r w:rsidR="003710FB" w:rsidRPr="007532C7">
        <w:rPr>
          <w:rFonts w:ascii="Times New Roman" w:hAnsi="Times New Roman" w:cs="Times New Roman"/>
          <w:sz w:val="24"/>
          <w:szCs w:val="24"/>
        </w:rPr>
        <w:t>72</w:t>
      </w:r>
      <w:r w:rsidR="003710FB">
        <w:rPr>
          <w:rFonts w:ascii="Times New Roman" w:hAnsi="Times New Roman" w:cs="Times New Roman"/>
          <w:sz w:val="24"/>
          <w:szCs w:val="24"/>
        </w:rPr>
        <w:t>в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, 73, 84, </w:t>
      </w:r>
      <w:r w:rsidR="003710FB">
        <w:rPr>
          <w:rFonts w:ascii="Times New Roman" w:hAnsi="Times New Roman" w:cs="Times New Roman"/>
          <w:sz w:val="24"/>
          <w:szCs w:val="24"/>
        </w:rPr>
        <w:t xml:space="preserve">55к, 62к, 66к, 67к, 84к, 87к, </w:t>
      </w:r>
      <w:r w:rsidR="003710FB" w:rsidRPr="007532C7">
        <w:rPr>
          <w:rFonts w:ascii="Times New Roman" w:hAnsi="Times New Roman" w:cs="Times New Roman"/>
          <w:sz w:val="24"/>
          <w:szCs w:val="24"/>
        </w:rPr>
        <w:t>25</w:t>
      </w:r>
      <w:r w:rsidR="003710FB">
        <w:rPr>
          <w:rFonts w:ascii="Times New Roman" w:hAnsi="Times New Roman" w:cs="Times New Roman"/>
          <w:sz w:val="24"/>
          <w:szCs w:val="24"/>
        </w:rPr>
        <w:t>д</w:t>
      </w:r>
      <w:r w:rsidR="003710FB" w:rsidRPr="007532C7">
        <w:rPr>
          <w:rFonts w:ascii="Times New Roman" w:hAnsi="Times New Roman" w:cs="Times New Roman"/>
          <w:sz w:val="24"/>
          <w:szCs w:val="24"/>
        </w:rPr>
        <w:t>, 42д, 56</w:t>
      </w:r>
      <w:r w:rsidR="003710FB">
        <w:rPr>
          <w:rFonts w:ascii="Times New Roman" w:hAnsi="Times New Roman" w:cs="Times New Roman"/>
          <w:sz w:val="24"/>
          <w:szCs w:val="24"/>
        </w:rPr>
        <w:t>д</w:t>
      </w:r>
      <w:r w:rsidR="003710FB" w:rsidRPr="007532C7">
        <w:rPr>
          <w:rFonts w:ascii="Times New Roman" w:hAnsi="Times New Roman" w:cs="Times New Roman"/>
          <w:sz w:val="24"/>
          <w:szCs w:val="24"/>
        </w:rPr>
        <w:t>, 252</w:t>
      </w:r>
      <w:r w:rsidR="003710FB">
        <w:rPr>
          <w:rFonts w:ascii="Times New Roman" w:hAnsi="Times New Roman" w:cs="Times New Roman"/>
          <w:sz w:val="24"/>
          <w:szCs w:val="24"/>
        </w:rPr>
        <w:t>Ю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, </w:t>
      </w:r>
      <w:r w:rsidR="003710FB">
        <w:rPr>
          <w:rFonts w:ascii="Times New Roman" w:hAnsi="Times New Roman" w:cs="Times New Roman"/>
          <w:sz w:val="24"/>
          <w:szCs w:val="24"/>
        </w:rPr>
        <w:t>252Р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, </w:t>
      </w:r>
      <w:r w:rsidR="003710FB">
        <w:rPr>
          <w:rFonts w:ascii="Times New Roman" w:hAnsi="Times New Roman" w:cs="Times New Roman"/>
          <w:sz w:val="24"/>
          <w:szCs w:val="24"/>
        </w:rPr>
        <w:t>252М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, </w:t>
      </w:r>
      <w:r w:rsidR="003710FB">
        <w:rPr>
          <w:rFonts w:ascii="Times New Roman" w:hAnsi="Times New Roman" w:cs="Times New Roman"/>
          <w:sz w:val="24"/>
          <w:szCs w:val="24"/>
        </w:rPr>
        <w:t>252Я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, </w:t>
      </w:r>
      <w:r w:rsidR="003710FB">
        <w:rPr>
          <w:rFonts w:ascii="Times New Roman" w:hAnsi="Times New Roman" w:cs="Times New Roman"/>
          <w:sz w:val="24"/>
          <w:szCs w:val="24"/>
        </w:rPr>
        <w:t>252А</w:t>
      </w:r>
      <w:r w:rsidR="002863C8">
        <w:rPr>
          <w:rFonts w:ascii="Times New Roman" w:hAnsi="Times New Roman" w:cs="Times New Roman"/>
          <w:sz w:val="24"/>
          <w:szCs w:val="24"/>
        </w:rPr>
        <w:t>),</w:t>
      </w:r>
    </w:p>
    <w:p w:rsidR="003710FB" w:rsidRPr="007532C7" w:rsidRDefault="00A90A4F" w:rsidP="00DB034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МП </w:t>
      </w:r>
      <w:r w:rsidR="003710FB">
        <w:rPr>
          <w:rFonts w:ascii="Times New Roman" w:hAnsi="Times New Roman" w:cs="Times New Roman"/>
          <w:sz w:val="24"/>
          <w:szCs w:val="24"/>
        </w:rPr>
        <w:t>«</w:t>
      </w:r>
      <w:r w:rsidR="003710FB" w:rsidRPr="007532C7">
        <w:rPr>
          <w:rFonts w:ascii="Times New Roman" w:hAnsi="Times New Roman" w:cs="Times New Roman"/>
          <w:sz w:val="24"/>
          <w:szCs w:val="24"/>
        </w:rPr>
        <w:t>Тольяттинское троллейбусное управление</w:t>
      </w:r>
      <w:r w:rsidR="003710FB">
        <w:rPr>
          <w:rFonts w:ascii="Times New Roman" w:hAnsi="Times New Roman" w:cs="Times New Roman"/>
          <w:sz w:val="24"/>
          <w:szCs w:val="24"/>
        </w:rPr>
        <w:t>»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 </w:t>
      </w:r>
      <w:r w:rsidR="003710FB">
        <w:rPr>
          <w:rFonts w:ascii="Times New Roman" w:hAnsi="Times New Roman" w:cs="Times New Roman"/>
          <w:sz w:val="24"/>
          <w:szCs w:val="24"/>
        </w:rPr>
        <w:t>–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 по </w:t>
      </w:r>
      <w:r w:rsidR="002863C8">
        <w:rPr>
          <w:rFonts w:ascii="Times New Roman" w:hAnsi="Times New Roman" w:cs="Times New Roman"/>
          <w:sz w:val="24"/>
          <w:szCs w:val="24"/>
        </w:rPr>
        <w:t>11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 маршрутам (</w:t>
      </w:r>
      <w:r w:rsidR="002863C8">
        <w:rPr>
          <w:rFonts w:ascii="Times New Roman" w:hAnsi="Times New Roman" w:cs="Times New Roman"/>
          <w:sz w:val="24"/>
          <w:szCs w:val="24"/>
        </w:rPr>
        <w:t>№№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 </w:t>
      </w:r>
      <w:r w:rsidR="002863C8">
        <w:rPr>
          <w:rFonts w:ascii="Times New Roman" w:hAnsi="Times New Roman" w:cs="Times New Roman"/>
          <w:sz w:val="24"/>
          <w:szCs w:val="24"/>
        </w:rPr>
        <w:t xml:space="preserve">1, </w:t>
      </w:r>
      <w:r w:rsidR="003710FB" w:rsidRPr="007532C7">
        <w:rPr>
          <w:rFonts w:ascii="Times New Roman" w:hAnsi="Times New Roman" w:cs="Times New Roman"/>
          <w:sz w:val="24"/>
          <w:szCs w:val="24"/>
        </w:rPr>
        <w:t>2, 4, 7,</w:t>
      </w:r>
      <w:r w:rsidR="002863C8">
        <w:rPr>
          <w:rFonts w:ascii="Times New Roman" w:hAnsi="Times New Roman" w:cs="Times New Roman"/>
          <w:sz w:val="24"/>
          <w:szCs w:val="24"/>
        </w:rPr>
        <w:t xml:space="preserve"> 8,</w:t>
      </w:r>
      <w:r w:rsidR="003710FB" w:rsidRPr="007532C7">
        <w:rPr>
          <w:rFonts w:ascii="Times New Roman" w:hAnsi="Times New Roman" w:cs="Times New Roman"/>
          <w:sz w:val="24"/>
          <w:szCs w:val="24"/>
        </w:rPr>
        <w:t xml:space="preserve"> 13, 14, 18, 21, </w:t>
      </w:r>
      <w:r w:rsidR="002863C8">
        <w:rPr>
          <w:rFonts w:ascii="Times New Roman" w:hAnsi="Times New Roman" w:cs="Times New Roman"/>
          <w:sz w:val="24"/>
          <w:szCs w:val="24"/>
        </w:rPr>
        <w:t xml:space="preserve">22, </w:t>
      </w:r>
      <w:r w:rsidR="003710FB" w:rsidRPr="007532C7">
        <w:rPr>
          <w:rFonts w:ascii="Times New Roman" w:hAnsi="Times New Roman" w:cs="Times New Roman"/>
          <w:sz w:val="24"/>
          <w:szCs w:val="24"/>
        </w:rPr>
        <w:t>57);</w:t>
      </w:r>
    </w:p>
    <w:p w:rsidR="00A60975" w:rsidRDefault="00A90A4F" w:rsidP="00DB034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60975">
        <w:rPr>
          <w:rFonts w:ascii="Times New Roman" w:hAnsi="Times New Roman" w:cs="Times New Roman"/>
          <w:sz w:val="24"/>
          <w:szCs w:val="24"/>
        </w:rPr>
        <w:t xml:space="preserve"> по нерегулируемым тарифам</w:t>
      </w:r>
      <w:r w:rsidR="003710FB">
        <w:rPr>
          <w:rFonts w:ascii="Times New Roman" w:hAnsi="Times New Roman" w:cs="Times New Roman"/>
          <w:sz w:val="24"/>
          <w:szCs w:val="24"/>
        </w:rPr>
        <w:t xml:space="preserve"> (5</w:t>
      </w:r>
      <w:r w:rsidR="002863C8">
        <w:rPr>
          <w:rFonts w:ascii="Times New Roman" w:hAnsi="Times New Roman" w:cs="Times New Roman"/>
          <w:sz w:val="24"/>
          <w:szCs w:val="24"/>
        </w:rPr>
        <w:t>4</w:t>
      </w:r>
      <w:r w:rsidR="003710FB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2863C8">
        <w:rPr>
          <w:rFonts w:ascii="Times New Roman" w:hAnsi="Times New Roman" w:cs="Times New Roman"/>
          <w:sz w:val="24"/>
          <w:szCs w:val="24"/>
        </w:rPr>
        <w:t>а</w:t>
      </w:r>
      <w:r w:rsidR="003710FB">
        <w:rPr>
          <w:rFonts w:ascii="Times New Roman" w:hAnsi="Times New Roman" w:cs="Times New Roman"/>
          <w:sz w:val="24"/>
          <w:szCs w:val="24"/>
        </w:rPr>
        <w:t>)</w:t>
      </w:r>
      <w:r w:rsidR="002863C8">
        <w:rPr>
          <w:rFonts w:ascii="Times New Roman" w:hAnsi="Times New Roman" w:cs="Times New Roman"/>
          <w:sz w:val="24"/>
          <w:szCs w:val="24"/>
        </w:rPr>
        <w:t>:</w:t>
      </w:r>
    </w:p>
    <w:p w:rsidR="003710FB" w:rsidRDefault="00A90A4F" w:rsidP="00DB034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3C8" w:rsidRPr="000D6F4E">
        <w:rPr>
          <w:rFonts w:ascii="Times New Roman" w:hAnsi="Times New Roman" w:cs="Times New Roman"/>
          <w:sz w:val="24"/>
          <w:szCs w:val="24"/>
        </w:rPr>
        <w:t>МП «Тольяттинское пассажирское автотранспортное предприятие № 3» – по 24 маршрутам (№№ 12, 14, 15, 16, 18, 19, 21, 22, 23, 24, 27, 28, 30, 35, 36, 37, 38, 71, 72, 76, 77, 5т, 9т, 11т),</w:t>
      </w:r>
    </w:p>
    <w:p w:rsidR="00F1380B" w:rsidRDefault="002863C8" w:rsidP="00DB034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- 11</w:t>
      </w:r>
      <w:r w:rsidR="00A90A4F">
        <w:rPr>
          <w:rFonts w:ascii="Times New Roman" w:hAnsi="Times New Roman" w:cs="Times New Roman"/>
          <w:sz w:val="24"/>
          <w:szCs w:val="24"/>
        </w:rPr>
        <w:t xml:space="preserve"> </w:t>
      </w:r>
      <w:r w:rsidR="00F1380B" w:rsidRPr="007532C7">
        <w:rPr>
          <w:rFonts w:ascii="Times New Roman" w:hAnsi="Times New Roman" w:cs="Times New Roman"/>
          <w:sz w:val="24"/>
          <w:szCs w:val="24"/>
        </w:rPr>
        <w:t xml:space="preserve">организаций иных форм собственности </w:t>
      </w:r>
      <w:r w:rsidR="008967DC">
        <w:rPr>
          <w:rFonts w:ascii="Times New Roman" w:hAnsi="Times New Roman" w:cs="Times New Roman"/>
          <w:sz w:val="24"/>
          <w:szCs w:val="24"/>
        </w:rPr>
        <w:t>–</w:t>
      </w:r>
      <w:r w:rsidR="00F1380B" w:rsidRPr="007532C7">
        <w:rPr>
          <w:rFonts w:ascii="Times New Roman" w:hAnsi="Times New Roman" w:cs="Times New Roman"/>
          <w:sz w:val="24"/>
          <w:szCs w:val="24"/>
        </w:rPr>
        <w:t xml:space="preserve"> по 3</w:t>
      </w:r>
      <w:r>
        <w:rPr>
          <w:rFonts w:ascii="Times New Roman" w:hAnsi="Times New Roman" w:cs="Times New Roman"/>
          <w:sz w:val="24"/>
          <w:szCs w:val="24"/>
        </w:rPr>
        <w:t>0 м</w:t>
      </w:r>
      <w:r w:rsidR="00F1380B" w:rsidRPr="007532C7">
        <w:rPr>
          <w:rFonts w:ascii="Times New Roman" w:hAnsi="Times New Roman" w:cs="Times New Roman"/>
          <w:sz w:val="24"/>
          <w:szCs w:val="24"/>
        </w:rPr>
        <w:t>аршрутам (</w:t>
      </w:r>
      <w:r>
        <w:rPr>
          <w:rFonts w:ascii="Times New Roman" w:hAnsi="Times New Roman" w:cs="Times New Roman"/>
          <w:sz w:val="24"/>
          <w:szCs w:val="24"/>
        </w:rPr>
        <w:t>№№</w:t>
      </w:r>
      <w:r w:rsidR="00F1380B" w:rsidRPr="007532C7">
        <w:rPr>
          <w:rFonts w:ascii="Times New Roman" w:hAnsi="Times New Roman" w:cs="Times New Roman"/>
          <w:sz w:val="24"/>
          <w:szCs w:val="24"/>
        </w:rPr>
        <w:t xml:space="preserve"> 91, 93, 93к, 94, 95, 96, 99, 102, 108, 114, 115, 116, 117, 118, 119, 124, 126, 127, 130, 131, 132, 134, 136, 142, 143, 149, 153, 211, 129, 201).</w:t>
      </w:r>
    </w:p>
    <w:p w:rsidR="0063305D" w:rsidRPr="006A5D8C" w:rsidRDefault="006E663E" w:rsidP="00DB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городского округа Тольятти является необходимым условием улучшения качества жизни населения. </w:t>
      </w:r>
      <w:r w:rsidR="0063305D" w:rsidRPr="006A5D8C">
        <w:rPr>
          <w:rFonts w:ascii="Times New Roman" w:hAnsi="Times New Roman" w:cs="Times New Roman"/>
          <w:sz w:val="24"/>
          <w:szCs w:val="24"/>
        </w:rPr>
        <w:t xml:space="preserve">Дальнейшее развитие сети городского пассажирского транспорта </w:t>
      </w:r>
      <w:r w:rsidR="001829C2">
        <w:rPr>
          <w:rFonts w:ascii="Times New Roman" w:hAnsi="Times New Roman" w:cs="Times New Roman"/>
          <w:sz w:val="24"/>
          <w:szCs w:val="24"/>
        </w:rPr>
        <w:t xml:space="preserve">взаимосвязано с </w:t>
      </w:r>
      <w:r w:rsidR="0063305D" w:rsidRPr="001829C2">
        <w:rPr>
          <w:rFonts w:ascii="Times New Roman" w:hAnsi="Times New Roman" w:cs="Times New Roman"/>
          <w:sz w:val="24"/>
          <w:szCs w:val="24"/>
        </w:rPr>
        <w:t>развитием</w:t>
      </w:r>
      <w:r w:rsidR="0063305D" w:rsidRPr="006A5D8C">
        <w:rPr>
          <w:rFonts w:ascii="Times New Roman" w:hAnsi="Times New Roman" w:cs="Times New Roman"/>
          <w:sz w:val="24"/>
          <w:szCs w:val="24"/>
        </w:rPr>
        <w:t xml:space="preserve"> города. </w:t>
      </w:r>
      <w:r w:rsidR="0063305D" w:rsidRPr="006A5D8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 одной стороны, расположение районов города, количество населения в них, а также количество рабочих мест формируют объемы и направления пассажиропотоков, определяют нагрузку на пассажирский транспорт. С другой стороны, развитие транспорта способствует освоению новых жилых районов, делает доступными и удобными для горожан новые рабочие места и объекты культурно-бытового назначения.</w:t>
      </w:r>
    </w:p>
    <w:p w:rsidR="0063305D" w:rsidRDefault="006A5D8C" w:rsidP="00DB03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 xml:space="preserve">В настоящее время в городском округе Тольятти продолжается строительство </w:t>
      </w:r>
      <w:r w:rsidR="0063305D">
        <w:rPr>
          <w:rFonts w:ascii="Times New Roman" w:eastAsia="Arial" w:hAnsi="Times New Roman" w:cs="Arial"/>
          <w:sz w:val="24"/>
          <w:szCs w:val="24"/>
        </w:rPr>
        <w:t>новы</w:t>
      </w:r>
      <w:r>
        <w:rPr>
          <w:rFonts w:ascii="Times New Roman" w:eastAsia="Arial" w:hAnsi="Times New Roman" w:cs="Arial"/>
          <w:sz w:val="24"/>
          <w:szCs w:val="24"/>
        </w:rPr>
        <w:t>х</w:t>
      </w:r>
      <w:r w:rsidR="0063305D">
        <w:rPr>
          <w:rFonts w:ascii="Times New Roman" w:eastAsia="Arial" w:hAnsi="Times New Roman" w:cs="Arial"/>
          <w:sz w:val="24"/>
          <w:szCs w:val="24"/>
        </w:rPr>
        <w:t xml:space="preserve"> жилы</w:t>
      </w:r>
      <w:r>
        <w:rPr>
          <w:rFonts w:ascii="Times New Roman" w:eastAsia="Arial" w:hAnsi="Times New Roman" w:cs="Arial"/>
          <w:sz w:val="24"/>
          <w:szCs w:val="24"/>
        </w:rPr>
        <w:t>х</w:t>
      </w:r>
      <w:r w:rsidR="0063305D">
        <w:rPr>
          <w:rFonts w:ascii="Times New Roman" w:eastAsia="Arial" w:hAnsi="Times New Roman" w:cs="Arial"/>
          <w:sz w:val="24"/>
          <w:szCs w:val="24"/>
        </w:rPr>
        <w:t xml:space="preserve"> квартал</w:t>
      </w:r>
      <w:r>
        <w:rPr>
          <w:rFonts w:ascii="Times New Roman" w:eastAsia="Arial" w:hAnsi="Times New Roman" w:cs="Arial"/>
          <w:sz w:val="24"/>
          <w:szCs w:val="24"/>
        </w:rPr>
        <w:t>ов (</w:t>
      </w:r>
      <w:r w:rsidR="0063305D">
        <w:rPr>
          <w:rFonts w:ascii="Times New Roman" w:eastAsia="Arial" w:hAnsi="Times New Roman" w:cs="Arial"/>
          <w:sz w:val="24"/>
          <w:szCs w:val="24"/>
        </w:rPr>
        <w:t xml:space="preserve">западнее Московского </w:t>
      </w:r>
      <w:proofErr w:type="spellStart"/>
      <w:r w:rsidR="0063305D">
        <w:rPr>
          <w:rFonts w:ascii="Times New Roman" w:eastAsia="Arial" w:hAnsi="Times New Roman" w:cs="Arial"/>
          <w:sz w:val="24"/>
          <w:szCs w:val="24"/>
        </w:rPr>
        <w:t>пр</w:t>
      </w:r>
      <w:proofErr w:type="spellEnd"/>
      <w:r w:rsidR="0063305D">
        <w:rPr>
          <w:rFonts w:ascii="Times New Roman" w:eastAsia="Arial" w:hAnsi="Times New Roman" w:cs="Arial"/>
          <w:sz w:val="24"/>
          <w:szCs w:val="24"/>
        </w:rPr>
        <w:t>-та в Автозаводском районе, севернее ул. Л. Толстого в Центральном районе</w:t>
      </w:r>
      <w:r>
        <w:rPr>
          <w:rFonts w:ascii="Times New Roman" w:eastAsia="Arial" w:hAnsi="Times New Roman" w:cs="Arial"/>
          <w:sz w:val="24"/>
          <w:szCs w:val="24"/>
        </w:rPr>
        <w:t>)</w:t>
      </w:r>
      <w:r w:rsidR="0063305D">
        <w:rPr>
          <w:rFonts w:ascii="Times New Roman" w:eastAsia="Arial" w:hAnsi="Times New Roman" w:cs="Arial"/>
          <w:sz w:val="24"/>
          <w:szCs w:val="24"/>
        </w:rPr>
        <w:t>.</w:t>
      </w:r>
    </w:p>
    <w:p w:rsidR="0063305D" w:rsidRDefault="00A90A4F" w:rsidP="00DB03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Количество </w:t>
      </w:r>
      <w:r w:rsidR="0063305D">
        <w:rPr>
          <w:rFonts w:ascii="Times New Roman" w:eastAsia="Calibri" w:hAnsi="Times New Roman"/>
          <w:sz w:val="24"/>
          <w:szCs w:val="24"/>
        </w:rPr>
        <w:t>резидент</w:t>
      </w:r>
      <w:r>
        <w:rPr>
          <w:rFonts w:ascii="Times New Roman" w:eastAsia="Calibri" w:hAnsi="Times New Roman"/>
          <w:sz w:val="24"/>
          <w:szCs w:val="24"/>
        </w:rPr>
        <w:t>ов</w:t>
      </w:r>
      <w:r w:rsidR="0063305D">
        <w:rPr>
          <w:rFonts w:ascii="Times New Roman" w:eastAsia="Calibri" w:hAnsi="Times New Roman"/>
          <w:sz w:val="24"/>
          <w:szCs w:val="24"/>
        </w:rPr>
        <w:t xml:space="preserve"> на территории технопар</w:t>
      </w:r>
      <w:r>
        <w:rPr>
          <w:rFonts w:ascii="Times New Roman" w:eastAsia="Calibri" w:hAnsi="Times New Roman"/>
          <w:sz w:val="24"/>
          <w:szCs w:val="24"/>
        </w:rPr>
        <w:t>ка «Жигулевская долина» продолжает увеличиваться.</w:t>
      </w:r>
    </w:p>
    <w:p w:rsidR="0063305D" w:rsidRDefault="0044406B" w:rsidP="00DB03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Ведется работа по </w:t>
      </w:r>
      <w:r w:rsidR="0063305D">
        <w:rPr>
          <w:rFonts w:ascii="Times New Roman" w:eastAsia="Calibri" w:hAnsi="Times New Roman"/>
          <w:sz w:val="24"/>
          <w:szCs w:val="24"/>
        </w:rPr>
        <w:t>изменени</w:t>
      </w:r>
      <w:r>
        <w:rPr>
          <w:rFonts w:ascii="Times New Roman" w:eastAsia="Calibri" w:hAnsi="Times New Roman"/>
          <w:sz w:val="24"/>
          <w:szCs w:val="24"/>
        </w:rPr>
        <w:t>ю</w:t>
      </w:r>
      <w:r w:rsidR="0063305D">
        <w:rPr>
          <w:rFonts w:ascii="Times New Roman" w:eastAsia="Calibri" w:hAnsi="Times New Roman"/>
          <w:sz w:val="24"/>
          <w:szCs w:val="24"/>
        </w:rPr>
        <w:t xml:space="preserve"> границ городского округа Тольятти путем отнесения части территории муниципального района </w:t>
      </w:r>
      <w:proofErr w:type="gramStart"/>
      <w:r w:rsidR="0063305D">
        <w:rPr>
          <w:rFonts w:ascii="Times New Roman" w:eastAsia="Calibri" w:hAnsi="Times New Roman"/>
          <w:sz w:val="24"/>
          <w:szCs w:val="24"/>
        </w:rPr>
        <w:t>Ставропольский</w:t>
      </w:r>
      <w:proofErr w:type="gramEnd"/>
      <w:r w:rsidR="0063305D">
        <w:rPr>
          <w:rFonts w:ascii="Times New Roman" w:eastAsia="Calibri" w:hAnsi="Times New Roman"/>
          <w:sz w:val="24"/>
          <w:szCs w:val="24"/>
        </w:rPr>
        <w:t xml:space="preserve"> (территории особой экономической зоны промышленно-производственного типа «Тольятти») к территории городского округа Тольятти.</w:t>
      </w:r>
    </w:p>
    <w:p w:rsidR="00DB0346" w:rsidRDefault="007264E5" w:rsidP="00DB03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Arial"/>
          <w:sz w:val="24"/>
          <w:szCs w:val="24"/>
        </w:rPr>
      </w:pPr>
      <w:r w:rsidRPr="00806846">
        <w:rPr>
          <w:rFonts w:ascii="Times New Roman" w:eastAsia="Arial" w:hAnsi="Times New Roman" w:cs="Arial"/>
          <w:sz w:val="24"/>
          <w:szCs w:val="24"/>
        </w:rPr>
        <w:t xml:space="preserve">Программой комплексного развития транспортной инфраструктуры городского округа </w:t>
      </w:r>
      <w:r w:rsidR="00DB0346">
        <w:rPr>
          <w:rFonts w:ascii="Times New Roman" w:eastAsia="Arial" w:hAnsi="Times New Roman" w:cs="Arial"/>
          <w:sz w:val="24"/>
          <w:szCs w:val="24"/>
        </w:rPr>
        <w:t xml:space="preserve">   </w:t>
      </w:r>
      <w:r w:rsidRPr="00806846">
        <w:rPr>
          <w:rFonts w:ascii="Times New Roman" w:eastAsia="Arial" w:hAnsi="Times New Roman" w:cs="Arial"/>
          <w:sz w:val="24"/>
          <w:szCs w:val="24"/>
        </w:rPr>
        <w:t xml:space="preserve">Тольятти </w:t>
      </w:r>
      <w:r w:rsidR="00DB0346">
        <w:rPr>
          <w:rFonts w:ascii="Times New Roman" w:eastAsia="Arial" w:hAnsi="Times New Roman" w:cs="Arial"/>
          <w:sz w:val="24"/>
          <w:szCs w:val="24"/>
        </w:rPr>
        <w:t xml:space="preserve">  </w:t>
      </w:r>
      <w:r w:rsidRPr="00806846">
        <w:rPr>
          <w:rFonts w:ascii="Times New Roman" w:eastAsia="Arial" w:hAnsi="Times New Roman" w:cs="Arial"/>
          <w:sz w:val="24"/>
          <w:szCs w:val="24"/>
        </w:rPr>
        <w:t xml:space="preserve">на </w:t>
      </w:r>
      <w:r w:rsidR="00DB0346">
        <w:rPr>
          <w:rFonts w:ascii="Times New Roman" w:eastAsia="Arial" w:hAnsi="Times New Roman" w:cs="Arial"/>
          <w:sz w:val="24"/>
          <w:szCs w:val="24"/>
        </w:rPr>
        <w:t xml:space="preserve">  </w:t>
      </w:r>
      <w:r w:rsidRPr="00806846">
        <w:rPr>
          <w:rFonts w:ascii="Times New Roman" w:eastAsia="Arial" w:hAnsi="Times New Roman" w:cs="Arial"/>
          <w:sz w:val="24"/>
          <w:szCs w:val="24"/>
        </w:rPr>
        <w:t>2018-2025</w:t>
      </w:r>
      <w:r w:rsidR="00DB0346">
        <w:rPr>
          <w:rFonts w:ascii="Times New Roman" w:eastAsia="Arial" w:hAnsi="Times New Roman" w:cs="Arial"/>
          <w:sz w:val="24"/>
          <w:szCs w:val="24"/>
        </w:rPr>
        <w:t xml:space="preserve"> </w:t>
      </w:r>
      <w:r w:rsidRPr="00806846">
        <w:rPr>
          <w:rFonts w:ascii="Times New Roman" w:eastAsia="Arial" w:hAnsi="Times New Roman" w:cs="Arial"/>
          <w:sz w:val="24"/>
          <w:szCs w:val="24"/>
        </w:rPr>
        <w:t xml:space="preserve"> годы</w:t>
      </w:r>
      <w:r w:rsidR="003128D1">
        <w:rPr>
          <w:rFonts w:ascii="Times New Roman" w:eastAsia="Arial" w:hAnsi="Times New Roman" w:cs="Arial"/>
          <w:sz w:val="24"/>
          <w:szCs w:val="24"/>
        </w:rPr>
        <w:t xml:space="preserve">, </w:t>
      </w:r>
      <w:r w:rsidRPr="00806846">
        <w:rPr>
          <w:rFonts w:ascii="Times New Roman" w:eastAsia="Arial" w:hAnsi="Times New Roman" w:cs="Arial"/>
          <w:sz w:val="24"/>
          <w:szCs w:val="24"/>
        </w:rPr>
        <w:t>утвержден</w:t>
      </w:r>
      <w:r w:rsidR="003128D1">
        <w:rPr>
          <w:rFonts w:ascii="Times New Roman" w:eastAsia="Arial" w:hAnsi="Times New Roman" w:cs="Arial"/>
          <w:sz w:val="24"/>
          <w:szCs w:val="24"/>
        </w:rPr>
        <w:t>ной</w:t>
      </w:r>
      <w:r w:rsidRPr="00806846">
        <w:rPr>
          <w:rFonts w:ascii="Times New Roman" w:eastAsia="Arial" w:hAnsi="Times New Roman" w:cs="Arial"/>
          <w:sz w:val="24"/>
          <w:szCs w:val="24"/>
        </w:rPr>
        <w:t xml:space="preserve"> </w:t>
      </w:r>
      <w:r w:rsidR="00DB0346">
        <w:rPr>
          <w:rFonts w:ascii="Times New Roman" w:eastAsia="Arial" w:hAnsi="Times New Roman" w:cs="Arial"/>
          <w:sz w:val="24"/>
          <w:szCs w:val="24"/>
        </w:rPr>
        <w:t xml:space="preserve">  </w:t>
      </w:r>
      <w:r w:rsidRPr="00806846">
        <w:rPr>
          <w:rFonts w:ascii="Times New Roman" w:eastAsia="Arial" w:hAnsi="Times New Roman" w:cs="Arial"/>
          <w:sz w:val="24"/>
          <w:szCs w:val="24"/>
        </w:rPr>
        <w:t xml:space="preserve">постановлением </w:t>
      </w:r>
      <w:r w:rsidR="00DB0346">
        <w:rPr>
          <w:rFonts w:ascii="Times New Roman" w:eastAsia="Arial" w:hAnsi="Times New Roman" w:cs="Arial"/>
          <w:sz w:val="24"/>
          <w:szCs w:val="24"/>
        </w:rPr>
        <w:t xml:space="preserve">  </w:t>
      </w:r>
      <w:r w:rsidRPr="00806846">
        <w:rPr>
          <w:rFonts w:ascii="Times New Roman" w:eastAsia="Arial" w:hAnsi="Times New Roman" w:cs="Arial"/>
          <w:sz w:val="24"/>
          <w:szCs w:val="24"/>
        </w:rPr>
        <w:t xml:space="preserve">администрации </w:t>
      </w:r>
    </w:p>
    <w:p w:rsidR="007264E5" w:rsidRDefault="007264E5" w:rsidP="00DB03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806846">
        <w:rPr>
          <w:rFonts w:ascii="Times New Roman" w:eastAsia="Arial" w:hAnsi="Times New Roman" w:cs="Arial"/>
          <w:sz w:val="24"/>
          <w:szCs w:val="24"/>
        </w:rPr>
        <w:t>городского округа Тольятти от 21.03.2018 г. № 904-п/1</w:t>
      </w:r>
      <w:r w:rsidR="001829C2">
        <w:rPr>
          <w:rFonts w:ascii="Times New Roman" w:eastAsia="Arial" w:hAnsi="Times New Roman" w:cs="Arial"/>
          <w:sz w:val="24"/>
          <w:szCs w:val="24"/>
        </w:rPr>
        <w:t xml:space="preserve"> (далее – ПКРТИ)</w:t>
      </w:r>
      <w:r w:rsidRPr="00806846">
        <w:rPr>
          <w:rFonts w:ascii="Times New Roman" w:eastAsia="Arial" w:hAnsi="Times New Roman" w:cs="Arial"/>
          <w:sz w:val="24"/>
          <w:szCs w:val="24"/>
        </w:rPr>
        <w:t xml:space="preserve">, </w:t>
      </w:r>
      <w:r w:rsidRPr="00806846">
        <w:rPr>
          <w:rFonts w:ascii="Times New Roman" w:hAnsi="Times New Roman"/>
          <w:sz w:val="24"/>
          <w:szCs w:val="24"/>
        </w:rPr>
        <w:t>Комплексн</w:t>
      </w:r>
      <w:r>
        <w:rPr>
          <w:rFonts w:ascii="Times New Roman" w:hAnsi="Times New Roman"/>
          <w:sz w:val="24"/>
          <w:szCs w:val="24"/>
        </w:rPr>
        <w:t>ой</w:t>
      </w:r>
      <w:r w:rsidRPr="00806846">
        <w:rPr>
          <w:rFonts w:ascii="Times New Roman" w:hAnsi="Times New Roman"/>
          <w:sz w:val="24"/>
          <w:szCs w:val="24"/>
        </w:rPr>
        <w:t xml:space="preserve"> схем</w:t>
      </w:r>
      <w:r>
        <w:rPr>
          <w:rFonts w:ascii="Times New Roman" w:hAnsi="Times New Roman"/>
          <w:sz w:val="24"/>
          <w:szCs w:val="24"/>
        </w:rPr>
        <w:t>ой</w:t>
      </w:r>
      <w:r w:rsidRPr="00806846">
        <w:rPr>
          <w:rFonts w:ascii="Times New Roman" w:hAnsi="Times New Roman"/>
          <w:sz w:val="24"/>
          <w:szCs w:val="24"/>
        </w:rPr>
        <w:t xml:space="preserve"> организации дорожного движения городского округа Тольятти</w:t>
      </w:r>
      <w:r w:rsidRPr="00806846">
        <w:rPr>
          <w:rFonts w:ascii="Times New Roman" w:eastAsia="Calibri" w:hAnsi="Times New Roman"/>
          <w:sz w:val="24"/>
          <w:szCs w:val="24"/>
        </w:rPr>
        <w:t xml:space="preserve"> на 2019-2021 гг. и на период до 2038 года</w:t>
      </w:r>
      <w:r w:rsidR="003128D1">
        <w:rPr>
          <w:rFonts w:ascii="Times New Roman" w:eastAsia="Calibri" w:hAnsi="Times New Roman"/>
          <w:sz w:val="24"/>
          <w:szCs w:val="24"/>
        </w:rPr>
        <w:t xml:space="preserve">, </w:t>
      </w:r>
      <w:r w:rsidR="00DB0346" w:rsidRPr="00806846">
        <w:rPr>
          <w:rFonts w:ascii="Times New Roman" w:eastAsia="Arial" w:hAnsi="Times New Roman" w:cs="Arial"/>
          <w:sz w:val="24"/>
          <w:szCs w:val="24"/>
        </w:rPr>
        <w:t>утвержде</w:t>
      </w:r>
      <w:r w:rsidR="003128D1">
        <w:rPr>
          <w:rFonts w:ascii="Times New Roman" w:eastAsia="Arial" w:hAnsi="Times New Roman" w:cs="Arial"/>
          <w:sz w:val="24"/>
          <w:szCs w:val="24"/>
        </w:rPr>
        <w:t>н</w:t>
      </w:r>
      <w:r w:rsidR="00DB0346" w:rsidRPr="00806846">
        <w:rPr>
          <w:rFonts w:ascii="Times New Roman" w:eastAsia="Arial" w:hAnsi="Times New Roman" w:cs="Arial"/>
          <w:sz w:val="24"/>
          <w:szCs w:val="24"/>
        </w:rPr>
        <w:t>н</w:t>
      </w:r>
      <w:r w:rsidR="003128D1">
        <w:rPr>
          <w:rFonts w:ascii="Times New Roman" w:eastAsia="Arial" w:hAnsi="Times New Roman" w:cs="Arial"/>
          <w:sz w:val="24"/>
          <w:szCs w:val="24"/>
        </w:rPr>
        <w:t>ой</w:t>
      </w:r>
      <w:r w:rsidR="00DB0346" w:rsidRPr="00806846">
        <w:rPr>
          <w:rFonts w:ascii="Times New Roman" w:eastAsia="Arial" w:hAnsi="Times New Roman" w:cs="Arial"/>
          <w:sz w:val="24"/>
          <w:szCs w:val="24"/>
        </w:rPr>
        <w:t xml:space="preserve"> постановлением администрации </w:t>
      </w:r>
      <w:r w:rsidR="00DB0346" w:rsidRPr="00BC7B38">
        <w:rPr>
          <w:rFonts w:ascii="Times New Roman" w:eastAsia="Arial" w:hAnsi="Times New Roman" w:cs="Arial"/>
          <w:sz w:val="24"/>
          <w:szCs w:val="24"/>
        </w:rPr>
        <w:t xml:space="preserve">городского округа Тольятти от </w:t>
      </w:r>
      <w:r w:rsidR="00162273" w:rsidRPr="00BC7B38">
        <w:rPr>
          <w:rFonts w:ascii="Times New Roman" w:eastAsia="Arial" w:hAnsi="Times New Roman" w:cs="Arial"/>
          <w:sz w:val="24"/>
          <w:szCs w:val="24"/>
        </w:rPr>
        <w:t>0</w:t>
      </w:r>
      <w:r w:rsidR="00BC7B38" w:rsidRPr="00BC7B38">
        <w:rPr>
          <w:rFonts w:ascii="Times New Roman" w:eastAsia="Arial" w:hAnsi="Times New Roman" w:cs="Arial"/>
          <w:sz w:val="24"/>
          <w:szCs w:val="24"/>
        </w:rPr>
        <w:t>6</w:t>
      </w:r>
      <w:r w:rsidR="00DB0346" w:rsidRPr="00BC7B38">
        <w:rPr>
          <w:rFonts w:ascii="Times New Roman" w:eastAsia="Arial" w:hAnsi="Times New Roman" w:cs="Arial"/>
          <w:sz w:val="24"/>
          <w:szCs w:val="24"/>
        </w:rPr>
        <w:t>.1</w:t>
      </w:r>
      <w:r w:rsidR="00162273" w:rsidRPr="00BC7B38">
        <w:rPr>
          <w:rFonts w:ascii="Times New Roman" w:eastAsia="Arial" w:hAnsi="Times New Roman" w:cs="Arial"/>
          <w:sz w:val="24"/>
          <w:szCs w:val="24"/>
        </w:rPr>
        <w:t>1</w:t>
      </w:r>
      <w:r w:rsidR="00DB0346" w:rsidRPr="00BC7B38">
        <w:rPr>
          <w:rFonts w:ascii="Times New Roman" w:eastAsia="Arial" w:hAnsi="Times New Roman" w:cs="Arial"/>
          <w:sz w:val="24"/>
          <w:szCs w:val="24"/>
        </w:rPr>
        <w:t xml:space="preserve">.2019 г. № </w:t>
      </w:r>
      <w:r w:rsidR="00BC7B38" w:rsidRPr="00BC7B38">
        <w:rPr>
          <w:rFonts w:ascii="Times New Roman" w:eastAsia="Arial" w:hAnsi="Times New Roman" w:cs="Arial"/>
          <w:sz w:val="24"/>
          <w:szCs w:val="24"/>
        </w:rPr>
        <w:t>3003</w:t>
      </w:r>
      <w:r w:rsidR="00DB0346" w:rsidRPr="00BC7B38">
        <w:rPr>
          <w:rFonts w:ascii="Times New Roman" w:eastAsia="Arial" w:hAnsi="Times New Roman" w:cs="Arial"/>
          <w:sz w:val="24"/>
          <w:szCs w:val="24"/>
        </w:rPr>
        <w:t>-п/1</w:t>
      </w:r>
      <w:r w:rsidR="001829C2">
        <w:rPr>
          <w:rFonts w:ascii="Times New Roman" w:eastAsia="Arial" w:hAnsi="Times New Roman" w:cs="Arial"/>
          <w:sz w:val="24"/>
          <w:szCs w:val="24"/>
        </w:rPr>
        <w:t xml:space="preserve"> (далее – КСОДД)</w:t>
      </w:r>
      <w:r w:rsidR="000D6F4E">
        <w:rPr>
          <w:rFonts w:ascii="Times New Roman" w:eastAsia="Arial" w:hAnsi="Times New Roman" w:cs="Arial"/>
          <w:sz w:val="24"/>
          <w:szCs w:val="24"/>
        </w:rPr>
        <w:t>,</w:t>
      </w:r>
      <w:r w:rsidR="00DB0346"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предусмотрены мероприятия по развитию улично-дорожной сети города:</w:t>
      </w:r>
    </w:p>
    <w:p w:rsidR="007264E5" w:rsidRDefault="007264E5" w:rsidP="007264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строительство ул. Офицерская от Южного шоссе до ул. 70 лет Октября (ул. Полякова) – 2019- 2021 гг.;</w:t>
      </w:r>
    </w:p>
    <w:p w:rsidR="007264E5" w:rsidRDefault="007264E5" w:rsidP="007264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строительство ул. Механизаторов от ул. Громовой до ул. Л. Чайкиной – 2020 г.;</w:t>
      </w:r>
    </w:p>
    <w:p w:rsidR="007264E5" w:rsidRDefault="007264E5" w:rsidP="007264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строительство улично-дорожной сети западнее Московского </w:t>
      </w:r>
      <w:proofErr w:type="spellStart"/>
      <w:r>
        <w:rPr>
          <w:rFonts w:ascii="Times New Roman" w:eastAsia="Calibri" w:hAnsi="Times New Roman"/>
          <w:sz w:val="24"/>
          <w:szCs w:val="24"/>
        </w:rPr>
        <w:t>пр</w:t>
      </w:r>
      <w:proofErr w:type="spellEnd"/>
      <w:r>
        <w:rPr>
          <w:rFonts w:ascii="Times New Roman" w:eastAsia="Calibri" w:hAnsi="Times New Roman"/>
          <w:sz w:val="24"/>
          <w:szCs w:val="24"/>
        </w:rPr>
        <w:t>-та (первая очередь) – 2020-2021 гг.;</w:t>
      </w:r>
    </w:p>
    <w:p w:rsidR="007264E5" w:rsidRDefault="007264E5" w:rsidP="007264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проектно-изыскательские работы по строительству, в том числе государственная экспертиза проекта, и строительство микрорайона № 3 «Северный», ограниченного улицами Калмыцкая, Ленина, Кудашева, Л. Толстого – 2022 г.;</w:t>
      </w:r>
    </w:p>
    <w:p w:rsidR="007264E5" w:rsidRDefault="007264E5" w:rsidP="007264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строительство участка автомобильной дороги в продолжение ул. Калмыцкая от Автозаводского шоссе до ул. Ленина – 2022-2023 гг.;</w:t>
      </w:r>
    </w:p>
    <w:p w:rsidR="007264E5" w:rsidRDefault="007264E5" w:rsidP="007264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строительство улично-дорожной сети западнее Московского </w:t>
      </w:r>
      <w:proofErr w:type="spellStart"/>
      <w:r>
        <w:rPr>
          <w:rFonts w:ascii="Times New Roman" w:eastAsia="Calibri" w:hAnsi="Times New Roman"/>
          <w:sz w:val="24"/>
          <w:szCs w:val="24"/>
        </w:rPr>
        <w:t>пр</w:t>
      </w:r>
      <w:proofErr w:type="spellEnd"/>
      <w:r>
        <w:rPr>
          <w:rFonts w:ascii="Times New Roman" w:eastAsia="Calibri" w:hAnsi="Times New Roman"/>
          <w:sz w:val="24"/>
          <w:szCs w:val="24"/>
        </w:rPr>
        <w:t>-та (вторая  очередь) – 2022-2024 гг.</w:t>
      </w:r>
    </w:p>
    <w:p w:rsidR="00FB0DAA" w:rsidRPr="00806846" w:rsidRDefault="00FB0DAA" w:rsidP="00806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  <w:r w:rsidRPr="00806846">
        <w:rPr>
          <w:rFonts w:ascii="Times New Roman" w:eastAsia="Arial" w:hAnsi="Times New Roman" w:cs="Arial"/>
          <w:sz w:val="24"/>
          <w:szCs w:val="24"/>
        </w:rPr>
        <w:t xml:space="preserve">Прогнозируемые перспективы градостроительного развития </w:t>
      </w:r>
      <w:r w:rsidR="008967DC" w:rsidRPr="00806846">
        <w:rPr>
          <w:rFonts w:ascii="Times New Roman" w:eastAsia="Arial" w:hAnsi="Times New Roman" w:cs="Arial"/>
          <w:sz w:val="24"/>
          <w:szCs w:val="24"/>
        </w:rPr>
        <w:t xml:space="preserve">города </w:t>
      </w:r>
      <w:r w:rsidRPr="00806846">
        <w:rPr>
          <w:rFonts w:ascii="Times New Roman" w:eastAsia="Arial" w:hAnsi="Times New Roman" w:cs="Arial"/>
          <w:sz w:val="24"/>
          <w:szCs w:val="24"/>
        </w:rPr>
        <w:t>буду</w:t>
      </w:r>
      <w:r w:rsidR="008967DC" w:rsidRPr="00806846">
        <w:rPr>
          <w:rFonts w:ascii="Times New Roman" w:eastAsia="Arial" w:hAnsi="Times New Roman" w:cs="Arial"/>
          <w:sz w:val="24"/>
          <w:szCs w:val="24"/>
        </w:rPr>
        <w:t>т</w:t>
      </w:r>
      <w:r w:rsidRPr="00806846">
        <w:rPr>
          <w:rFonts w:ascii="Times New Roman" w:eastAsia="Arial" w:hAnsi="Times New Roman" w:cs="Arial"/>
          <w:sz w:val="24"/>
          <w:szCs w:val="24"/>
        </w:rPr>
        <w:t xml:space="preserve"> способствовать концентрации мест приложения труда в производственной сфере на территории </w:t>
      </w:r>
      <w:r w:rsidR="006A5D8C">
        <w:rPr>
          <w:rFonts w:ascii="Times New Roman" w:eastAsia="Arial" w:hAnsi="Times New Roman" w:cs="Arial"/>
          <w:sz w:val="24"/>
          <w:szCs w:val="24"/>
        </w:rPr>
        <w:t xml:space="preserve">развивающихся </w:t>
      </w:r>
      <w:r w:rsidRPr="00806846">
        <w:rPr>
          <w:rFonts w:ascii="Times New Roman" w:eastAsia="Arial" w:hAnsi="Times New Roman" w:cs="Arial"/>
          <w:sz w:val="24"/>
          <w:szCs w:val="24"/>
        </w:rPr>
        <w:t xml:space="preserve">промышленных зон и росту мест приложения труда в сфере обслуживания населения (потребительский рынок, услуги). При этом в долгосрочной перспективе расселение населения по территории </w:t>
      </w:r>
      <w:r w:rsidR="00806846" w:rsidRPr="00806846">
        <w:rPr>
          <w:rFonts w:ascii="Times New Roman" w:eastAsia="Arial" w:hAnsi="Times New Roman" w:cs="Arial"/>
          <w:sz w:val="24"/>
          <w:szCs w:val="24"/>
        </w:rPr>
        <w:t>города</w:t>
      </w:r>
      <w:r w:rsidRPr="00806846">
        <w:rPr>
          <w:rFonts w:ascii="Times New Roman" w:eastAsia="Arial" w:hAnsi="Times New Roman" w:cs="Arial"/>
          <w:sz w:val="24"/>
          <w:szCs w:val="24"/>
        </w:rPr>
        <w:t xml:space="preserve"> будет определяться реализацией проектов нового жилищного строительства в Автозаводском и Центральном районах </w:t>
      </w:r>
      <w:r w:rsidR="006A5D8C">
        <w:rPr>
          <w:rFonts w:ascii="Times New Roman" w:eastAsia="Arial" w:hAnsi="Times New Roman" w:cs="Arial"/>
          <w:sz w:val="24"/>
          <w:szCs w:val="24"/>
        </w:rPr>
        <w:t>города</w:t>
      </w:r>
      <w:r w:rsidRPr="00806846">
        <w:rPr>
          <w:rFonts w:ascii="Times New Roman" w:eastAsia="Arial" w:hAnsi="Times New Roman" w:cs="Arial"/>
          <w:sz w:val="24"/>
          <w:szCs w:val="24"/>
        </w:rPr>
        <w:t xml:space="preserve">, что </w:t>
      </w:r>
      <w:r w:rsidR="00806846" w:rsidRPr="00806846">
        <w:rPr>
          <w:rFonts w:ascii="Times New Roman" w:eastAsia="Arial" w:hAnsi="Times New Roman" w:cs="Arial"/>
          <w:sz w:val="24"/>
          <w:szCs w:val="24"/>
        </w:rPr>
        <w:t>потребует организации транспортного обслуживания новых районов и обеспече</w:t>
      </w:r>
      <w:r w:rsidR="006A5D8C">
        <w:rPr>
          <w:rFonts w:ascii="Times New Roman" w:eastAsia="Arial" w:hAnsi="Times New Roman" w:cs="Arial"/>
          <w:sz w:val="24"/>
          <w:szCs w:val="24"/>
        </w:rPr>
        <w:t>ния транспортной связи</w:t>
      </w:r>
      <w:r w:rsidR="00806846" w:rsidRPr="00806846">
        <w:rPr>
          <w:rFonts w:ascii="Times New Roman" w:eastAsia="Arial" w:hAnsi="Times New Roman" w:cs="Arial"/>
          <w:sz w:val="24"/>
          <w:szCs w:val="24"/>
        </w:rPr>
        <w:t xml:space="preserve"> с промышленными площадками и организациями социальной направленности города.</w:t>
      </w:r>
    </w:p>
    <w:p w:rsidR="00806846" w:rsidRPr="00DB0346" w:rsidRDefault="00806846" w:rsidP="00806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</w:rPr>
      </w:pPr>
    </w:p>
    <w:p w:rsidR="00F1380B" w:rsidRPr="004A6654" w:rsidRDefault="00F1380B" w:rsidP="002073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A6654">
        <w:rPr>
          <w:rFonts w:ascii="Times New Roman" w:hAnsi="Times New Roman" w:cs="Times New Roman"/>
          <w:b/>
          <w:bCs/>
          <w:sz w:val="24"/>
          <w:szCs w:val="24"/>
        </w:rPr>
        <w:t>III. ЦЕЛИ И ЗАДАЧИ РАЗВИТИЯ РЕГУЛЯРНЫХ ПЕРЕВОЗОК</w:t>
      </w:r>
    </w:p>
    <w:p w:rsidR="00F1380B" w:rsidRPr="00DB0346" w:rsidRDefault="00F1380B" w:rsidP="0020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0B" w:rsidRPr="004A6654" w:rsidRDefault="00F1380B" w:rsidP="0020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654">
        <w:rPr>
          <w:rFonts w:ascii="Times New Roman" w:hAnsi="Times New Roman" w:cs="Times New Roman"/>
          <w:sz w:val="24"/>
          <w:szCs w:val="24"/>
        </w:rPr>
        <w:t>3.1. Целью развития регулярных перевозок городского округа Тольятти является повышение качественного уровня транспортного обслуживания населения с учетом социальных, экономических и экологических факторов.</w:t>
      </w:r>
    </w:p>
    <w:p w:rsidR="00F1380B" w:rsidRPr="004A6654" w:rsidRDefault="00F1380B" w:rsidP="0020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654">
        <w:rPr>
          <w:rFonts w:ascii="Times New Roman" w:hAnsi="Times New Roman" w:cs="Times New Roman"/>
          <w:sz w:val="24"/>
          <w:szCs w:val="24"/>
        </w:rPr>
        <w:lastRenderedPageBreak/>
        <w:t>3.2. В рамках реализации поставленной цели основными задачами развития регулярных перевозок городского округа Тольятти являются:</w:t>
      </w:r>
    </w:p>
    <w:p w:rsidR="00F1380B" w:rsidRPr="004A6654" w:rsidRDefault="001159CD" w:rsidP="0020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654">
        <w:rPr>
          <w:rFonts w:ascii="Times New Roman" w:hAnsi="Times New Roman" w:cs="Times New Roman"/>
          <w:sz w:val="24"/>
          <w:szCs w:val="24"/>
        </w:rPr>
        <w:t>- о</w:t>
      </w:r>
      <w:r w:rsidR="00F1380B" w:rsidRPr="004A6654">
        <w:rPr>
          <w:rFonts w:ascii="Times New Roman" w:hAnsi="Times New Roman" w:cs="Times New Roman"/>
          <w:sz w:val="24"/>
          <w:szCs w:val="24"/>
        </w:rPr>
        <w:t>птимизация работы городского пассажирского транспорта (установление, изменение, отмена муниципальных маршрутов), изменение маршрутной сети с учетом реконструкции и строительства новых авто</w:t>
      </w:r>
      <w:r w:rsidRPr="004A6654">
        <w:rPr>
          <w:rFonts w:ascii="Times New Roman" w:hAnsi="Times New Roman" w:cs="Times New Roman"/>
          <w:sz w:val="24"/>
          <w:szCs w:val="24"/>
        </w:rPr>
        <w:t xml:space="preserve">мобильных </w:t>
      </w:r>
      <w:r w:rsidR="00F1380B" w:rsidRPr="004A6654">
        <w:rPr>
          <w:rFonts w:ascii="Times New Roman" w:hAnsi="Times New Roman" w:cs="Times New Roman"/>
          <w:sz w:val="24"/>
          <w:szCs w:val="24"/>
        </w:rPr>
        <w:t>дорог</w:t>
      </w:r>
      <w:r w:rsidRPr="004A6654">
        <w:rPr>
          <w:rFonts w:ascii="Times New Roman" w:hAnsi="Times New Roman" w:cs="Times New Roman"/>
          <w:sz w:val="24"/>
          <w:szCs w:val="24"/>
        </w:rPr>
        <w:t>, строительства</w:t>
      </w:r>
      <w:r w:rsidR="00F1380B" w:rsidRPr="004A6654">
        <w:rPr>
          <w:rFonts w:ascii="Times New Roman" w:hAnsi="Times New Roman" w:cs="Times New Roman"/>
          <w:sz w:val="24"/>
          <w:szCs w:val="24"/>
        </w:rPr>
        <w:t xml:space="preserve"> новых </w:t>
      </w:r>
      <w:r w:rsidRPr="004A6654">
        <w:rPr>
          <w:rFonts w:ascii="Times New Roman" w:hAnsi="Times New Roman" w:cs="Times New Roman"/>
          <w:sz w:val="24"/>
          <w:szCs w:val="24"/>
        </w:rPr>
        <w:t xml:space="preserve">жилых </w:t>
      </w:r>
      <w:r w:rsidR="00F1380B" w:rsidRPr="004A6654">
        <w:rPr>
          <w:rFonts w:ascii="Times New Roman" w:hAnsi="Times New Roman" w:cs="Times New Roman"/>
          <w:sz w:val="24"/>
          <w:szCs w:val="24"/>
        </w:rPr>
        <w:t>районов, появления новых мест притяжения граждан.</w:t>
      </w:r>
    </w:p>
    <w:p w:rsidR="00F1380B" w:rsidRPr="004A6654" w:rsidRDefault="001159CD" w:rsidP="0020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654">
        <w:rPr>
          <w:rFonts w:ascii="Times New Roman" w:hAnsi="Times New Roman" w:cs="Times New Roman"/>
          <w:sz w:val="24"/>
          <w:szCs w:val="24"/>
        </w:rPr>
        <w:t xml:space="preserve">- </w:t>
      </w:r>
      <w:r w:rsidR="00F1380B" w:rsidRPr="004A6654">
        <w:rPr>
          <w:rFonts w:ascii="Times New Roman" w:hAnsi="Times New Roman" w:cs="Times New Roman"/>
          <w:sz w:val="24"/>
          <w:szCs w:val="24"/>
        </w:rPr>
        <w:t xml:space="preserve"> </w:t>
      </w:r>
      <w:r w:rsidRPr="004A6654">
        <w:rPr>
          <w:rFonts w:ascii="Times New Roman" w:hAnsi="Times New Roman" w:cs="Times New Roman"/>
          <w:sz w:val="24"/>
          <w:szCs w:val="24"/>
        </w:rPr>
        <w:t>с</w:t>
      </w:r>
      <w:r w:rsidR="00F1380B" w:rsidRPr="004A6654">
        <w:rPr>
          <w:rFonts w:ascii="Times New Roman" w:hAnsi="Times New Roman" w:cs="Times New Roman"/>
          <w:sz w:val="24"/>
          <w:szCs w:val="24"/>
        </w:rPr>
        <w:t>овершенствование и развитие транспортной инфраструктуры.</w:t>
      </w:r>
    </w:p>
    <w:p w:rsidR="00F1380B" w:rsidRPr="004A6654" w:rsidRDefault="00064F2C" w:rsidP="00064F2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654">
        <w:rPr>
          <w:rFonts w:ascii="Times New Roman" w:hAnsi="Times New Roman" w:cs="Times New Roman"/>
          <w:sz w:val="24"/>
          <w:szCs w:val="24"/>
        </w:rPr>
        <w:tab/>
      </w:r>
    </w:p>
    <w:p w:rsidR="00F1380B" w:rsidRDefault="00F1380B" w:rsidP="002073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A6654">
        <w:rPr>
          <w:rFonts w:ascii="Times New Roman" w:hAnsi="Times New Roman" w:cs="Times New Roman"/>
          <w:b/>
          <w:bCs/>
          <w:sz w:val="24"/>
          <w:szCs w:val="24"/>
        </w:rPr>
        <w:t>IV. МЕРОПРИЯТИЯ ПО РАЗВИТИЮ РЕГУЛЯРНЫХ ПЕРЕВОЗОК</w:t>
      </w:r>
      <w:r w:rsidR="00BE6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29C2" w:rsidRDefault="001829C2" w:rsidP="002073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ПЛАНИРУЕМЫХ СРОКАХ ПРОВЕДЕНИЯ КОНКУРСОВ И ЗАКЛЮЧЕНИЯ МУНИЦИПАЛЬНЫХ КОНТРАКТОВ НА ВЫПОЛНЕНИЕ РАБОТ, СВЯЗАННЫХ С ОСУЩЕСТВЛЕНИЕМ РЕГУЛЯРНЫХ ПЕРЕВОЗОК ПО МАРШРУТАМ ПО РЕГУЛИРУЕМЫМ ТАРИФАМ.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6"/>
        <w:gridCol w:w="1665"/>
      </w:tblGrid>
      <w:tr w:rsidR="00064F2C" w:rsidRPr="004A6654" w:rsidTr="004247FF">
        <w:tc>
          <w:tcPr>
            <w:tcW w:w="675" w:type="dxa"/>
            <w:vAlign w:val="center"/>
          </w:tcPr>
          <w:p w:rsidR="001159CD" w:rsidRPr="004A6654" w:rsidRDefault="001159CD" w:rsidP="001159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6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66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1159CD" w:rsidRPr="004A6654" w:rsidRDefault="001159CD" w:rsidP="001159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6" w:type="dxa"/>
            <w:vAlign w:val="center"/>
          </w:tcPr>
          <w:p w:rsidR="001159CD" w:rsidRPr="004A6654" w:rsidRDefault="001159CD" w:rsidP="001159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5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5" w:type="dxa"/>
            <w:vAlign w:val="center"/>
          </w:tcPr>
          <w:p w:rsidR="001159CD" w:rsidRPr="004A6654" w:rsidRDefault="001159CD" w:rsidP="001159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5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64F2C" w:rsidTr="004247FF">
        <w:tc>
          <w:tcPr>
            <w:tcW w:w="675" w:type="dxa"/>
          </w:tcPr>
          <w:p w:rsidR="001159CD" w:rsidRPr="001159CD" w:rsidRDefault="001159CD" w:rsidP="002073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9C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1159CD" w:rsidRDefault="001159CD" w:rsidP="001159CD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регулярных перевозок с целью дальнейшей оптимизации работы городского пассажирского транспорта с учетом реконструкции и строительства новых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мобильных 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строительства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районов, появления новых мест притяжения граждан</w:t>
            </w:r>
          </w:p>
        </w:tc>
        <w:tc>
          <w:tcPr>
            <w:tcW w:w="2836" w:type="dxa"/>
          </w:tcPr>
          <w:p w:rsidR="001159CD" w:rsidRDefault="001159CD" w:rsidP="00064F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  <w:r w:rsidR="0006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1159CD" w:rsidRDefault="001159CD" w:rsidP="001159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020-2023 гг.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FD2" w:rsidTr="004247FF">
        <w:tc>
          <w:tcPr>
            <w:tcW w:w="675" w:type="dxa"/>
          </w:tcPr>
          <w:p w:rsidR="00B73070" w:rsidRDefault="006C4F8F" w:rsidP="002073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B73070" w:rsidRPr="007532C7" w:rsidRDefault="00B73070" w:rsidP="00162273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изменению вида регулярных перевозок, </w:t>
            </w:r>
            <w:r w:rsidR="006C4F8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установлению, изменению, 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отмене муниципальных маршрутов</w:t>
            </w:r>
          </w:p>
        </w:tc>
        <w:tc>
          <w:tcPr>
            <w:tcW w:w="2836" w:type="dxa"/>
          </w:tcPr>
          <w:p w:rsidR="00B73070" w:rsidRDefault="00B73070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665" w:type="dxa"/>
          </w:tcPr>
          <w:p w:rsidR="00B73070" w:rsidRDefault="00B73070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020-2023 гг.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FD2" w:rsidTr="004247FF">
        <w:tc>
          <w:tcPr>
            <w:tcW w:w="675" w:type="dxa"/>
          </w:tcPr>
          <w:p w:rsidR="006C4F8F" w:rsidRPr="001159CD" w:rsidRDefault="006C4F8F" w:rsidP="00567E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6C4F8F" w:rsidRDefault="00162273" w:rsidP="00BE6CD5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населения в регулярных перевозках в целях принятия решения о целесообразности у</w:t>
            </w:r>
            <w:r w:rsidR="006C4F8F" w:rsidRPr="007532C7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C4F8F">
              <w:rPr>
                <w:rFonts w:ascii="Times New Roman" w:hAnsi="Times New Roman" w:cs="Times New Roman"/>
                <w:sz w:val="24"/>
                <w:szCs w:val="24"/>
              </w:rPr>
              <w:t xml:space="preserve"> и/или</w:t>
            </w:r>
            <w:r w:rsidR="006C4F8F"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 w:rsidR="00BE6C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C4F8F"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маршрутов в связи</w:t>
            </w:r>
            <w:r w:rsidR="006C4F8F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строительством:</w:t>
            </w:r>
          </w:p>
        </w:tc>
        <w:tc>
          <w:tcPr>
            <w:tcW w:w="2836" w:type="dxa"/>
          </w:tcPr>
          <w:p w:rsidR="006C4F8F" w:rsidRDefault="006C4F8F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665" w:type="dxa"/>
          </w:tcPr>
          <w:p w:rsidR="006C4F8F" w:rsidRDefault="006C4F8F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7FD2" w:rsidTr="004247FF">
        <w:tc>
          <w:tcPr>
            <w:tcW w:w="675" w:type="dxa"/>
          </w:tcPr>
          <w:p w:rsidR="00162273" w:rsidRPr="001159CD" w:rsidRDefault="00162273" w:rsidP="001B1CD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395" w:type="dxa"/>
          </w:tcPr>
          <w:p w:rsidR="00162273" w:rsidRDefault="00162273" w:rsidP="00162273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ул. Механизаторов от ул. Громовой до ул. Л. Чайкиной</w:t>
            </w:r>
          </w:p>
        </w:tc>
        <w:tc>
          <w:tcPr>
            <w:tcW w:w="2836" w:type="dxa"/>
          </w:tcPr>
          <w:p w:rsidR="00162273" w:rsidRPr="007532C7" w:rsidRDefault="00162273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62273" w:rsidRDefault="00162273" w:rsidP="00DD192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2020 г.</w:t>
            </w:r>
          </w:p>
        </w:tc>
      </w:tr>
      <w:tr w:rsidR="00162273" w:rsidTr="004247FF">
        <w:tc>
          <w:tcPr>
            <w:tcW w:w="675" w:type="dxa"/>
          </w:tcPr>
          <w:p w:rsidR="00162273" w:rsidRPr="001159CD" w:rsidRDefault="00162273" w:rsidP="001622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395" w:type="dxa"/>
          </w:tcPr>
          <w:p w:rsidR="00162273" w:rsidRDefault="00162273" w:rsidP="006C4F8F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ул. Офицерская от Южного шоссе до ул. 70 лет Октября (ул. Полякова)</w:t>
            </w:r>
          </w:p>
        </w:tc>
        <w:tc>
          <w:tcPr>
            <w:tcW w:w="2836" w:type="dxa"/>
          </w:tcPr>
          <w:p w:rsidR="00162273" w:rsidRDefault="00162273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162273" w:rsidRDefault="00162273" w:rsidP="006C4F8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2020-2021 гг.</w:t>
            </w:r>
          </w:p>
        </w:tc>
      </w:tr>
      <w:tr w:rsidR="00162273" w:rsidTr="004247FF">
        <w:tc>
          <w:tcPr>
            <w:tcW w:w="675" w:type="dxa"/>
          </w:tcPr>
          <w:p w:rsidR="00162273" w:rsidRPr="001159CD" w:rsidRDefault="00162273" w:rsidP="001622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395" w:type="dxa"/>
          </w:tcPr>
          <w:p w:rsidR="00162273" w:rsidRDefault="00162273" w:rsidP="005E7731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улично-дорожной сети западнее Московского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-та (первая очередь)</w:t>
            </w:r>
          </w:p>
        </w:tc>
        <w:tc>
          <w:tcPr>
            <w:tcW w:w="2836" w:type="dxa"/>
          </w:tcPr>
          <w:p w:rsidR="00162273" w:rsidRDefault="00162273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162273" w:rsidRDefault="00162273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2020-2021 гг.</w:t>
            </w:r>
          </w:p>
        </w:tc>
      </w:tr>
      <w:tr w:rsidR="004A6654" w:rsidTr="004247FF">
        <w:tc>
          <w:tcPr>
            <w:tcW w:w="675" w:type="dxa"/>
          </w:tcPr>
          <w:p w:rsidR="00064F2C" w:rsidRDefault="00162273" w:rsidP="001622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64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64F2C" w:rsidRPr="007532C7" w:rsidRDefault="00064F2C" w:rsidP="00C336C6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о закупках работ, связанных с осуществлением регулярных перевозок по регулируемым тарифам, в связи окончанием срока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контракта 2020-2021 гг.</w:t>
            </w:r>
          </w:p>
        </w:tc>
        <w:tc>
          <w:tcPr>
            <w:tcW w:w="2836" w:type="dxa"/>
          </w:tcPr>
          <w:p w:rsidR="00064F2C" w:rsidRDefault="00064F2C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665" w:type="dxa"/>
          </w:tcPr>
          <w:p w:rsidR="00064F2C" w:rsidRDefault="00064F2C" w:rsidP="002073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полугодие 2021 г.</w:t>
            </w:r>
          </w:p>
        </w:tc>
      </w:tr>
      <w:tr w:rsidR="004A6654" w:rsidTr="004247FF">
        <w:tc>
          <w:tcPr>
            <w:tcW w:w="675" w:type="dxa"/>
          </w:tcPr>
          <w:p w:rsidR="00064F2C" w:rsidRDefault="00162273" w:rsidP="001622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64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64F2C" w:rsidRPr="007532C7" w:rsidRDefault="00064F2C" w:rsidP="00BE6CD5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право заключения муниципального контракта на выполнение работ, связанных с осуществлением регулярных перевозок по регулируемым тарифам, в связи окончанием срока действия муниципального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2020-2021 гг.</w:t>
            </w:r>
          </w:p>
        </w:tc>
        <w:tc>
          <w:tcPr>
            <w:tcW w:w="2836" w:type="dxa"/>
          </w:tcPr>
          <w:p w:rsidR="00064F2C" w:rsidRDefault="00064F2C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665" w:type="dxa"/>
          </w:tcPr>
          <w:p w:rsidR="00064F2C" w:rsidRDefault="00064F2C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полугодие 2021 г.</w:t>
            </w:r>
          </w:p>
        </w:tc>
      </w:tr>
      <w:tr w:rsidR="004247FF" w:rsidTr="004247FF">
        <w:tc>
          <w:tcPr>
            <w:tcW w:w="675" w:type="dxa"/>
            <w:vAlign w:val="center"/>
          </w:tcPr>
          <w:p w:rsidR="004247FF" w:rsidRDefault="004247FF" w:rsidP="00B8402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4247FF" w:rsidRDefault="004247FF" w:rsidP="00B8402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6" w:type="dxa"/>
            <w:vAlign w:val="center"/>
          </w:tcPr>
          <w:p w:rsidR="004247FF" w:rsidRDefault="004247FF" w:rsidP="00B8402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5" w:type="dxa"/>
            <w:vAlign w:val="center"/>
          </w:tcPr>
          <w:p w:rsidR="004247FF" w:rsidRDefault="004247FF" w:rsidP="00B8402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162273" w:rsidTr="004247FF">
        <w:tc>
          <w:tcPr>
            <w:tcW w:w="675" w:type="dxa"/>
          </w:tcPr>
          <w:p w:rsidR="00162273" w:rsidRPr="001159CD" w:rsidRDefault="00162273" w:rsidP="005C4A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162273" w:rsidRDefault="00162273" w:rsidP="00562B23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населения в регулярных перевозках в целях принятия решения о целесообразности у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и/или</w:t>
            </w:r>
            <w:r w:rsidR="00BE6CD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маршрутов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строительством:</w:t>
            </w:r>
          </w:p>
        </w:tc>
        <w:tc>
          <w:tcPr>
            <w:tcW w:w="2836" w:type="dxa"/>
          </w:tcPr>
          <w:p w:rsidR="00162273" w:rsidRDefault="00162273" w:rsidP="00562B2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665" w:type="dxa"/>
          </w:tcPr>
          <w:p w:rsidR="00162273" w:rsidRDefault="00162273" w:rsidP="002073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62273" w:rsidTr="004247FF">
        <w:tc>
          <w:tcPr>
            <w:tcW w:w="675" w:type="dxa"/>
          </w:tcPr>
          <w:p w:rsidR="00162273" w:rsidRPr="001159CD" w:rsidRDefault="00162273" w:rsidP="001622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4395" w:type="dxa"/>
          </w:tcPr>
          <w:p w:rsidR="00162273" w:rsidRDefault="00162273" w:rsidP="00C336C6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микрорайона № 3 «Северный», ограниченного улицами Калмыцкая, Ленина, Кудашева, Л. Толстого</w:t>
            </w:r>
          </w:p>
        </w:tc>
        <w:tc>
          <w:tcPr>
            <w:tcW w:w="2836" w:type="dxa"/>
          </w:tcPr>
          <w:p w:rsidR="00162273" w:rsidRDefault="00162273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162273" w:rsidRDefault="00162273" w:rsidP="002073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г.</w:t>
            </w:r>
          </w:p>
        </w:tc>
      </w:tr>
      <w:tr w:rsidR="00064F2C" w:rsidTr="004247FF">
        <w:tc>
          <w:tcPr>
            <w:tcW w:w="675" w:type="dxa"/>
          </w:tcPr>
          <w:p w:rsidR="00064F2C" w:rsidRPr="00B73070" w:rsidRDefault="00AE7FD2" w:rsidP="00AE7FD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  <w:r w:rsidR="00064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64F2C" w:rsidRDefault="00064F2C" w:rsidP="0021047C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участка автомобильной дороги в продолжение ул. Калмыцкая от Автозаводского шоссе до ул. Ленина</w:t>
            </w:r>
          </w:p>
        </w:tc>
        <w:tc>
          <w:tcPr>
            <w:tcW w:w="2836" w:type="dxa"/>
          </w:tcPr>
          <w:p w:rsidR="00064F2C" w:rsidRDefault="00064F2C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064F2C" w:rsidRDefault="00064F2C" w:rsidP="002073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2022-2023 гг.</w:t>
            </w:r>
          </w:p>
        </w:tc>
      </w:tr>
      <w:tr w:rsidR="00064F2C" w:rsidTr="004247FF">
        <w:tc>
          <w:tcPr>
            <w:tcW w:w="675" w:type="dxa"/>
          </w:tcPr>
          <w:p w:rsidR="00064F2C" w:rsidRPr="00B73070" w:rsidRDefault="00AE7FD2" w:rsidP="00AE7FD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  <w:r w:rsidR="00064F2C" w:rsidRPr="00B730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64F2C" w:rsidRDefault="00064F2C" w:rsidP="00B73070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улично-дорожной сети западнее Московского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-та (вторая  очередь)</w:t>
            </w:r>
          </w:p>
        </w:tc>
        <w:tc>
          <w:tcPr>
            <w:tcW w:w="2836" w:type="dxa"/>
          </w:tcPr>
          <w:p w:rsidR="00064F2C" w:rsidRDefault="00064F2C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:rsidR="00064F2C" w:rsidRDefault="00064F2C" w:rsidP="00064F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2022-2023 гг.</w:t>
            </w:r>
          </w:p>
        </w:tc>
      </w:tr>
      <w:tr w:rsidR="00C336C6" w:rsidTr="004247FF">
        <w:tc>
          <w:tcPr>
            <w:tcW w:w="675" w:type="dxa"/>
          </w:tcPr>
          <w:p w:rsidR="004A6654" w:rsidRDefault="00AE7FD2" w:rsidP="00AE7FD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A66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A6654" w:rsidRPr="007532C7" w:rsidRDefault="004A6654" w:rsidP="00C336C6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о закупках работ, связанных с осуществлением регулярных перевозок по регулируемым тарифам, в связи окончанием срока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контракта на 2022-2023 гг.</w:t>
            </w:r>
          </w:p>
        </w:tc>
        <w:tc>
          <w:tcPr>
            <w:tcW w:w="2836" w:type="dxa"/>
          </w:tcPr>
          <w:p w:rsidR="004A6654" w:rsidRDefault="004A6654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665" w:type="dxa"/>
          </w:tcPr>
          <w:p w:rsidR="004A6654" w:rsidRDefault="004A6654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полугодие 2023 г.</w:t>
            </w:r>
          </w:p>
        </w:tc>
      </w:tr>
      <w:tr w:rsidR="00C336C6" w:rsidTr="004247FF">
        <w:tc>
          <w:tcPr>
            <w:tcW w:w="675" w:type="dxa"/>
          </w:tcPr>
          <w:p w:rsidR="004A6654" w:rsidRDefault="00AE7FD2" w:rsidP="00AE7FD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A66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A6654" w:rsidRPr="007532C7" w:rsidRDefault="004A6654" w:rsidP="00BE6CD5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право заключения муниципального контракта на выполнение работ, связанных с осуществлением регулярных перевозок по регулируемым тарифам, в связи окончанием срока действия муниципального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2022-2023 гг.</w:t>
            </w:r>
          </w:p>
        </w:tc>
        <w:tc>
          <w:tcPr>
            <w:tcW w:w="2836" w:type="dxa"/>
          </w:tcPr>
          <w:p w:rsidR="004A6654" w:rsidRDefault="004A6654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665" w:type="dxa"/>
          </w:tcPr>
          <w:p w:rsidR="004A6654" w:rsidRDefault="004A6654" w:rsidP="005E77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полугодие 2023 г.</w:t>
            </w:r>
          </w:p>
        </w:tc>
      </w:tr>
      <w:tr w:rsidR="00C336C6" w:rsidTr="004247FF">
        <w:tc>
          <w:tcPr>
            <w:tcW w:w="675" w:type="dxa"/>
          </w:tcPr>
          <w:p w:rsidR="00064F2C" w:rsidRPr="00B73070" w:rsidRDefault="00AE7FD2" w:rsidP="00AE7FD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64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064F2C" w:rsidRPr="007532C7" w:rsidRDefault="00064F2C" w:rsidP="001823EF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транспортной инфраструктуры.</w:t>
            </w:r>
          </w:p>
          <w:p w:rsidR="00C336C6" w:rsidRDefault="00064F2C" w:rsidP="00C336C6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 осуществляются в рамках реализации</w:t>
            </w:r>
            <w:r w:rsidR="00C336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4F2C" w:rsidRDefault="00C336C6" w:rsidP="00C336C6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4F2C"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hyperlink r:id="rId8" w:history="1">
              <w:r w:rsidR="00064F2C" w:rsidRPr="007532C7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064F2C"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F2C" w:rsidRPr="007532C7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дорожного хозяйства городского округа Тольятти на 2014-2020</w:t>
            </w:r>
            <w:r w:rsidR="00097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F2C" w:rsidRPr="007532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4F2C" w:rsidRPr="007532C7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мэрии городского округа Тольятти от 29.01.2014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064F2C"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233-п/1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36C6" w:rsidRPr="001829C2" w:rsidRDefault="00C336C6" w:rsidP="00C336C6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2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128D1" w:rsidRPr="001829C2">
              <w:rPr>
                <w:rFonts w:ascii="Times New Roman" w:hAnsi="Times New Roman" w:cs="Times New Roman"/>
                <w:sz w:val="24"/>
                <w:szCs w:val="24"/>
              </w:rPr>
              <w:t xml:space="preserve">КРТИ </w:t>
            </w:r>
            <w:proofErr w:type="spellStart"/>
            <w:r w:rsidR="003128D1" w:rsidRPr="001829C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3128D1" w:rsidRPr="001829C2">
              <w:rPr>
                <w:rFonts w:ascii="Times New Roman" w:hAnsi="Times New Roman" w:cs="Times New Roman"/>
                <w:sz w:val="24"/>
                <w:szCs w:val="24"/>
              </w:rPr>
              <w:t>. Тольятти</w:t>
            </w:r>
            <w:r w:rsidRPr="001829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36C6" w:rsidRPr="007532C7" w:rsidRDefault="00C336C6" w:rsidP="003128D1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C2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3128D1" w:rsidRPr="001829C2">
              <w:rPr>
                <w:rFonts w:ascii="Times New Roman" w:hAnsi="Times New Roman" w:cs="Times New Roman"/>
                <w:sz w:val="24"/>
                <w:szCs w:val="24"/>
              </w:rPr>
              <w:t xml:space="preserve">СОДД </w:t>
            </w:r>
            <w:proofErr w:type="spellStart"/>
            <w:r w:rsidR="003128D1" w:rsidRPr="001829C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3128D1" w:rsidRPr="001829C2">
              <w:rPr>
                <w:rFonts w:ascii="Times New Roman" w:hAnsi="Times New Roman" w:cs="Times New Roman"/>
                <w:sz w:val="24"/>
                <w:szCs w:val="24"/>
              </w:rPr>
              <w:t>. Тольятти</w:t>
            </w:r>
          </w:p>
        </w:tc>
        <w:tc>
          <w:tcPr>
            <w:tcW w:w="2836" w:type="dxa"/>
          </w:tcPr>
          <w:p w:rsidR="00064F2C" w:rsidRDefault="00064F2C" w:rsidP="00182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муниципальной </w:t>
            </w:r>
            <w:hyperlink r:id="rId9" w:history="1">
              <w:r w:rsidRPr="007532C7">
                <w:rPr>
                  <w:rFonts w:ascii="Times New Roman" w:hAnsi="Times New Roman" w:cs="Times New Roman"/>
                  <w:sz w:val="24"/>
                  <w:szCs w:val="24"/>
                </w:rPr>
                <w:t>программой</w:t>
              </w:r>
            </w:hyperlink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1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дорожного хозяйства городского округа Тольятти на 2014-2020 гг.</w:t>
            </w:r>
            <w:r w:rsidR="00097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утвержденной постановлением мэрии городского округа Тольятти от 29.01.2014 </w:t>
            </w:r>
            <w:r w:rsidR="0009715B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7532C7">
              <w:rPr>
                <w:rFonts w:ascii="Times New Roman" w:hAnsi="Times New Roman" w:cs="Times New Roman"/>
                <w:sz w:val="24"/>
                <w:szCs w:val="24"/>
              </w:rPr>
              <w:t>233-п/1</w:t>
            </w:r>
          </w:p>
          <w:p w:rsidR="00064F2C" w:rsidRPr="007532C7" w:rsidRDefault="00064F2C" w:rsidP="00182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064F2C" w:rsidRPr="0009715B" w:rsidRDefault="0009715B" w:rsidP="002073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15B">
              <w:rPr>
                <w:rFonts w:ascii="Times New Roman" w:hAnsi="Times New Roman" w:cs="Times New Roman"/>
                <w:bCs/>
                <w:sz w:val="24"/>
                <w:szCs w:val="24"/>
              </w:rPr>
              <w:t>2020-2023 гг.</w:t>
            </w:r>
          </w:p>
        </w:tc>
      </w:tr>
    </w:tbl>
    <w:p w:rsidR="001159CD" w:rsidRPr="003128D1" w:rsidRDefault="001159CD" w:rsidP="002073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0B" w:rsidRPr="007532C7" w:rsidRDefault="00F1380B" w:rsidP="002073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11"/>
      <w:bookmarkEnd w:id="1"/>
      <w:r w:rsidRPr="007532C7">
        <w:rPr>
          <w:rFonts w:ascii="Times New Roman" w:hAnsi="Times New Roman" w:cs="Times New Roman"/>
          <w:b/>
          <w:bCs/>
          <w:sz w:val="24"/>
          <w:szCs w:val="24"/>
        </w:rPr>
        <w:t>V. ОЖИДАЕМЫЕ РЕЗУЛЬТАТЫ РЕАЛИЗАЦИИ</w:t>
      </w:r>
    </w:p>
    <w:p w:rsidR="00F1380B" w:rsidRPr="007532C7" w:rsidRDefault="00F1380B" w:rsidP="0020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2C7">
        <w:rPr>
          <w:rFonts w:ascii="Times New Roman" w:hAnsi="Times New Roman" w:cs="Times New Roman"/>
          <w:b/>
          <w:bCs/>
          <w:sz w:val="24"/>
          <w:szCs w:val="24"/>
        </w:rPr>
        <w:t>МЕРОПРИЯТИЙ ПО РАЗВИТИЮ РЕГУЛЯРНЫХ ПЕРЕВОЗОК</w:t>
      </w:r>
    </w:p>
    <w:p w:rsidR="00F1380B" w:rsidRPr="003128D1" w:rsidRDefault="00F1380B" w:rsidP="0020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0B" w:rsidRDefault="00F1380B" w:rsidP="00D41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8D1">
        <w:rPr>
          <w:rFonts w:ascii="Times New Roman" w:hAnsi="Times New Roman" w:cs="Times New Roman"/>
          <w:sz w:val="24"/>
          <w:szCs w:val="24"/>
        </w:rPr>
        <w:t>Ожидаемые</w:t>
      </w:r>
      <w:r w:rsidRPr="007532C7">
        <w:rPr>
          <w:rFonts w:ascii="Times New Roman" w:hAnsi="Times New Roman" w:cs="Times New Roman"/>
          <w:sz w:val="24"/>
          <w:szCs w:val="24"/>
        </w:rPr>
        <w:t xml:space="preserve"> результаты реализации мероприятий по развитию регулярных перевозок:</w:t>
      </w:r>
    </w:p>
    <w:p w:rsidR="00D41942" w:rsidRPr="00D41942" w:rsidRDefault="00D41942" w:rsidP="00D41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1942">
        <w:rPr>
          <w:rFonts w:ascii="Times New Roman" w:hAnsi="Times New Roman" w:cs="Times New Roman"/>
          <w:sz w:val="24"/>
          <w:szCs w:val="24"/>
        </w:rPr>
        <w:t>удовлетворение транспортной потребности населения в регулярных перевозках по муниципальным маршрутам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346" w:rsidRPr="00D41942" w:rsidRDefault="00DB0346" w:rsidP="00DB034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1942">
        <w:rPr>
          <w:rFonts w:ascii="Times New Roman" w:hAnsi="Times New Roman" w:cs="Times New Roman"/>
          <w:sz w:val="24"/>
          <w:szCs w:val="24"/>
        </w:rPr>
        <w:t xml:space="preserve">- развитие транспортной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="00600877">
        <w:rPr>
          <w:rFonts w:ascii="Times New Roman" w:hAnsi="Times New Roman" w:cs="Times New Roman"/>
          <w:sz w:val="24"/>
          <w:szCs w:val="24"/>
        </w:rPr>
        <w:t>,</w:t>
      </w:r>
      <w:bookmarkStart w:id="2" w:name="_GoBack"/>
      <w:bookmarkEnd w:id="2"/>
      <w:r w:rsidR="0060492D">
        <w:rPr>
          <w:rFonts w:ascii="Times New Roman" w:hAnsi="Times New Roman" w:cs="Times New Roman"/>
          <w:sz w:val="24"/>
          <w:szCs w:val="24"/>
        </w:rPr>
        <w:t xml:space="preserve"> взаимосвязанное</w:t>
      </w:r>
      <w:r w:rsidRPr="00D41942">
        <w:rPr>
          <w:rFonts w:ascii="Times New Roman" w:hAnsi="Times New Roman" w:cs="Times New Roman"/>
          <w:sz w:val="24"/>
          <w:szCs w:val="24"/>
        </w:rPr>
        <w:t xml:space="preserve"> с градостроительной </w:t>
      </w:r>
      <w:r w:rsidRPr="00DB0346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D41942" w:rsidRPr="00D41942" w:rsidRDefault="00F1380B" w:rsidP="00D41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94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41942" w:rsidRPr="00D41942">
        <w:rPr>
          <w:rFonts w:ascii="Times New Roman" w:hAnsi="Times New Roman" w:cs="Times New Roman"/>
          <w:sz w:val="24"/>
          <w:szCs w:val="24"/>
        </w:rPr>
        <w:t>безопасность, качество и эффективность транспортного обслуживания населения, а также субъектов экономической деятельности на территории городского округа;</w:t>
      </w:r>
    </w:p>
    <w:p w:rsidR="00F1380B" w:rsidRPr="00D41942" w:rsidRDefault="00F1380B" w:rsidP="00D41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942">
        <w:rPr>
          <w:rFonts w:ascii="Times New Roman" w:hAnsi="Times New Roman" w:cs="Times New Roman"/>
          <w:sz w:val="24"/>
          <w:szCs w:val="24"/>
        </w:rPr>
        <w:t xml:space="preserve">- </w:t>
      </w:r>
      <w:r w:rsidR="00D41942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Pr="00D41942">
        <w:rPr>
          <w:rFonts w:ascii="Times New Roman" w:hAnsi="Times New Roman" w:cs="Times New Roman"/>
          <w:sz w:val="24"/>
          <w:szCs w:val="24"/>
        </w:rPr>
        <w:t>привлекательности транспорта общего пользования</w:t>
      </w:r>
      <w:r w:rsidR="00D41942">
        <w:rPr>
          <w:rFonts w:ascii="Times New Roman" w:hAnsi="Times New Roman" w:cs="Times New Roman"/>
          <w:sz w:val="24"/>
          <w:szCs w:val="24"/>
        </w:rPr>
        <w:t>;</w:t>
      </w:r>
    </w:p>
    <w:p w:rsidR="00F1380B" w:rsidRPr="007532C7" w:rsidRDefault="00F1380B" w:rsidP="00D41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C7">
        <w:rPr>
          <w:rFonts w:ascii="Times New Roman" w:hAnsi="Times New Roman" w:cs="Times New Roman"/>
          <w:sz w:val="24"/>
          <w:szCs w:val="24"/>
        </w:rPr>
        <w:t>- увеличение объема регулярных перевозок пассажиров</w:t>
      </w:r>
      <w:r w:rsidR="00D41942">
        <w:rPr>
          <w:rFonts w:ascii="Times New Roman" w:hAnsi="Times New Roman" w:cs="Times New Roman"/>
          <w:sz w:val="24"/>
          <w:szCs w:val="24"/>
        </w:rPr>
        <w:t xml:space="preserve"> городским пассажирским транспортом;</w:t>
      </w:r>
    </w:p>
    <w:p w:rsidR="00F1380B" w:rsidRPr="007532C7" w:rsidRDefault="00F1380B" w:rsidP="00D41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C7">
        <w:rPr>
          <w:rFonts w:ascii="Times New Roman" w:hAnsi="Times New Roman" w:cs="Times New Roman"/>
          <w:sz w:val="24"/>
          <w:szCs w:val="24"/>
        </w:rPr>
        <w:t>- снижение отрицательного влияния транспорта общего пользования в городском округе на окружающую среду</w:t>
      </w:r>
      <w:r w:rsidR="00D41942">
        <w:rPr>
          <w:rFonts w:ascii="Times New Roman" w:hAnsi="Times New Roman" w:cs="Times New Roman"/>
          <w:sz w:val="24"/>
          <w:szCs w:val="24"/>
        </w:rPr>
        <w:t>;</w:t>
      </w:r>
    </w:p>
    <w:p w:rsidR="00F1380B" w:rsidRPr="00D41942" w:rsidRDefault="00F1380B" w:rsidP="00D41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2C7">
        <w:rPr>
          <w:rFonts w:ascii="Times New Roman" w:hAnsi="Times New Roman" w:cs="Times New Roman"/>
          <w:sz w:val="24"/>
          <w:szCs w:val="24"/>
        </w:rPr>
        <w:t xml:space="preserve">- повышение доступности транспорта общего пользования в городе для граждан, </w:t>
      </w:r>
      <w:r w:rsidRPr="00D41942">
        <w:rPr>
          <w:rFonts w:ascii="Times New Roman" w:hAnsi="Times New Roman" w:cs="Times New Roman"/>
          <w:sz w:val="24"/>
          <w:szCs w:val="24"/>
        </w:rPr>
        <w:t xml:space="preserve">относящихся к </w:t>
      </w:r>
      <w:r w:rsidR="00D41942" w:rsidRPr="00D41942">
        <w:rPr>
          <w:rFonts w:ascii="Times New Roman" w:hAnsi="Times New Roman" w:cs="Times New Roman"/>
          <w:sz w:val="24"/>
          <w:szCs w:val="24"/>
        </w:rPr>
        <w:t>маломобильным группам населения;</w:t>
      </w:r>
    </w:p>
    <w:p w:rsidR="00D41942" w:rsidRDefault="00D41942" w:rsidP="00D419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942">
        <w:rPr>
          <w:rFonts w:ascii="Times New Roman" w:hAnsi="Times New Roman" w:cs="Times New Roman"/>
          <w:sz w:val="24"/>
          <w:szCs w:val="24"/>
        </w:rPr>
        <w:t>- развитие транспортной инфраструктуры в соответствии с потребностями населения в передвижении, субъектов экономической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942">
        <w:rPr>
          <w:rFonts w:ascii="Times New Roman" w:hAnsi="Times New Roman" w:cs="Times New Roman"/>
          <w:sz w:val="24"/>
          <w:szCs w:val="24"/>
        </w:rPr>
        <w:t>соот</w:t>
      </w:r>
      <w:r w:rsidR="00DB0346">
        <w:rPr>
          <w:rFonts w:ascii="Times New Roman" w:hAnsi="Times New Roman" w:cs="Times New Roman"/>
          <w:sz w:val="24"/>
          <w:szCs w:val="24"/>
        </w:rPr>
        <w:t>ветствии с транспортным спросом.</w:t>
      </w:r>
    </w:p>
    <w:p w:rsidR="003128D1" w:rsidRDefault="003128D1" w:rsidP="00DB034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380B" w:rsidRPr="007532C7" w:rsidRDefault="00DB0346" w:rsidP="00DB034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F1380B" w:rsidRPr="007532C7" w:rsidSect="00DB0346">
      <w:headerReference w:type="default" r:id="rId10"/>
      <w:pgSz w:w="11905" w:h="16838"/>
      <w:pgMar w:top="993" w:right="850" w:bottom="567" w:left="1701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45" w:rsidRDefault="00714745" w:rsidP="006A5D8C">
      <w:pPr>
        <w:spacing w:after="0" w:line="240" w:lineRule="auto"/>
      </w:pPr>
      <w:r>
        <w:separator/>
      </w:r>
    </w:p>
  </w:endnote>
  <w:endnote w:type="continuationSeparator" w:id="0">
    <w:p w:rsidR="00714745" w:rsidRDefault="00714745" w:rsidP="006A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45" w:rsidRDefault="00714745" w:rsidP="006A5D8C">
      <w:pPr>
        <w:spacing w:after="0" w:line="240" w:lineRule="auto"/>
      </w:pPr>
      <w:r>
        <w:separator/>
      </w:r>
    </w:p>
  </w:footnote>
  <w:footnote w:type="continuationSeparator" w:id="0">
    <w:p w:rsidR="00714745" w:rsidRDefault="00714745" w:rsidP="006A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050872"/>
      <w:docPartObj>
        <w:docPartGallery w:val="Page Numbers (Top of Page)"/>
        <w:docPartUnique/>
      </w:docPartObj>
    </w:sdtPr>
    <w:sdtEndPr/>
    <w:sdtContent>
      <w:p w:rsidR="006A5D8C" w:rsidRDefault="006A5D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877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89"/>
    <w:rsid w:val="00014485"/>
    <w:rsid w:val="00064F2C"/>
    <w:rsid w:val="000718BC"/>
    <w:rsid w:val="0009715B"/>
    <w:rsid w:val="000B4D44"/>
    <w:rsid w:val="000D6F4E"/>
    <w:rsid w:val="001159CD"/>
    <w:rsid w:val="00126B04"/>
    <w:rsid w:val="00162273"/>
    <w:rsid w:val="001823EF"/>
    <w:rsid w:val="001829C2"/>
    <w:rsid w:val="001A5B84"/>
    <w:rsid w:val="001B0CDE"/>
    <w:rsid w:val="002073C6"/>
    <w:rsid w:val="002863C8"/>
    <w:rsid w:val="003128D1"/>
    <w:rsid w:val="00324788"/>
    <w:rsid w:val="003710FB"/>
    <w:rsid w:val="004247FF"/>
    <w:rsid w:val="0044406B"/>
    <w:rsid w:val="004A6654"/>
    <w:rsid w:val="004E2782"/>
    <w:rsid w:val="00516D83"/>
    <w:rsid w:val="00560BA4"/>
    <w:rsid w:val="005E0889"/>
    <w:rsid w:val="00600877"/>
    <w:rsid w:val="0060492D"/>
    <w:rsid w:val="0061462C"/>
    <w:rsid w:val="0063305D"/>
    <w:rsid w:val="00636A83"/>
    <w:rsid w:val="00642144"/>
    <w:rsid w:val="006934F0"/>
    <w:rsid w:val="006A5D8C"/>
    <w:rsid w:val="006C4F8F"/>
    <w:rsid w:val="006E663E"/>
    <w:rsid w:val="006E7934"/>
    <w:rsid w:val="00714745"/>
    <w:rsid w:val="007264E5"/>
    <w:rsid w:val="007532C7"/>
    <w:rsid w:val="00806846"/>
    <w:rsid w:val="008407E6"/>
    <w:rsid w:val="008967DC"/>
    <w:rsid w:val="008E391A"/>
    <w:rsid w:val="0093166A"/>
    <w:rsid w:val="00A60975"/>
    <w:rsid w:val="00A67A8C"/>
    <w:rsid w:val="00A90A4F"/>
    <w:rsid w:val="00AE7FD2"/>
    <w:rsid w:val="00B1054C"/>
    <w:rsid w:val="00B73070"/>
    <w:rsid w:val="00BC7B38"/>
    <w:rsid w:val="00BD3535"/>
    <w:rsid w:val="00BE6CD5"/>
    <w:rsid w:val="00C100E2"/>
    <w:rsid w:val="00C336C6"/>
    <w:rsid w:val="00C47CED"/>
    <w:rsid w:val="00CB47F3"/>
    <w:rsid w:val="00CB7963"/>
    <w:rsid w:val="00CC5F18"/>
    <w:rsid w:val="00CE426B"/>
    <w:rsid w:val="00D41942"/>
    <w:rsid w:val="00D80941"/>
    <w:rsid w:val="00DB0346"/>
    <w:rsid w:val="00F1380B"/>
    <w:rsid w:val="00FB0DAA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642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642144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A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D8C"/>
  </w:style>
  <w:style w:type="paragraph" w:styleId="a7">
    <w:name w:val="footer"/>
    <w:basedOn w:val="a"/>
    <w:link w:val="a8"/>
    <w:uiPriority w:val="99"/>
    <w:unhideWhenUsed/>
    <w:rsid w:val="006A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D8C"/>
  </w:style>
  <w:style w:type="paragraph" w:styleId="a9">
    <w:name w:val="Balloon Text"/>
    <w:basedOn w:val="a"/>
    <w:link w:val="aa"/>
    <w:uiPriority w:val="99"/>
    <w:semiHidden/>
    <w:unhideWhenUsed/>
    <w:rsid w:val="0031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2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642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642144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A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D8C"/>
  </w:style>
  <w:style w:type="paragraph" w:styleId="a7">
    <w:name w:val="footer"/>
    <w:basedOn w:val="a"/>
    <w:link w:val="a8"/>
    <w:uiPriority w:val="99"/>
    <w:unhideWhenUsed/>
    <w:rsid w:val="006A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D8C"/>
  </w:style>
  <w:style w:type="paragraph" w:styleId="a9">
    <w:name w:val="Balloon Text"/>
    <w:basedOn w:val="a"/>
    <w:link w:val="aa"/>
    <w:uiPriority w:val="99"/>
    <w:semiHidden/>
    <w:unhideWhenUsed/>
    <w:rsid w:val="0031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2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C149FE8E7333C0110A59DBB223CAA4BF8420DE33F75E9053ECF6618549387EBE3356773D802A7EF2D3A131B11A2332724C6119EFA7C132E05FB17jCE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DC149FE8E7333C0110BB90AD4E60A24FFB1B01E33E7DBD5F6CC931470495D2ABA33332309C0FA2EE2E6E45584FFB62616FCA1182E67D12j3E9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DC149FE8E7333C0110A59DBB223CAA4BF8420DE33F75E9053ECF6618549387EBE3356773D802A7EF2D3A131B11A2332724C6119EFA7C132E05FB17jCE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2019-12-11T07:32:00Z</cp:lastPrinted>
  <dcterms:created xsi:type="dcterms:W3CDTF">2019-10-02T12:05:00Z</dcterms:created>
  <dcterms:modified xsi:type="dcterms:W3CDTF">2019-12-26T10:01:00Z</dcterms:modified>
</cp:coreProperties>
</file>