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FCB" w:rsidRDefault="00734FCB" w:rsidP="00734FC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Финансово-экономическое обоснование</w:t>
      </w:r>
    </w:p>
    <w:p w:rsidR="002F3715" w:rsidRPr="002F3715" w:rsidRDefault="002F3715" w:rsidP="002F3715">
      <w:pPr>
        <w:jc w:val="center"/>
        <w:rPr>
          <w:sz w:val="28"/>
          <w:szCs w:val="28"/>
          <w:lang w:val="ru-RU"/>
        </w:rPr>
      </w:pPr>
      <w:r w:rsidRPr="002F3715">
        <w:rPr>
          <w:sz w:val="28"/>
          <w:szCs w:val="28"/>
          <w:lang w:val="ru-RU"/>
        </w:rPr>
        <w:t>к проекту постановления администрации городского округа Тольятти</w:t>
      </w:r>
    </w:p>
    <w:p w:rsidR="002F3715" w:rsidRPr="002F3715" w:rsidRDefault="002F3715" w:rsidP="002F3715">
      <w:pPr>
        <w:jc w:val="center"/>
        <w:rPr>
          <w:sz w:val="28"/>
          <w:szCs w:val="28"/>
          <w:lang w:val="ru-RU"/>
        </w:rPr>
      </w:pPr>
      <w:r w:rsidRPr="002F3715">
        <w:rPr>
          <w:sz w:val="28"/>
          <w:szCs w:val="28"/>
          <w:lang w:val="ru-RU"/>
        </w:rPr>
        <w:t>о внесении изменений в постановление администрации городского округа Тольятти от 11.04.2018 № 1142-п/1 «Об утверждении схемы размещения нестационарных торговых объектов на территории</w:t>
      </w:r>
      <w:r w:rsidRPr="002F3715">
        <w:rPr>
          <w:sz w:val="28"/>
          <w:szCs w:val="28"/>
          <w:lang w:val="ru-RU"/>
        </w:rPr>
        <w:br/>
        <w:t>городского округа Тольятти»</w:t>
      </w:r>
    </w:p>
    <w:p w:rsidR="00734FCB" w:rsidRDefault="00734FCB" w:rsidP="00734FCB">
      <w:pPr>
        <w:pStyle w:val="a4"/>
        <w:jc w:val="both"/>
        <w:rPr>
          <w:b w:val="0"/>
          <w:i w:val="0"/>
          <w:lang w:val="ru-RU"/>
        </w:rPr>
      </w:pPr>
    </w:p>
    <w:p w:rsidR="002F3715" w:rsidRDefault="002F3715" w:rsidP="00734FCB">
      <w:pPr>
        <w:pStyle w:val="ConsPlusNormal"/>
        <w:spacing w:line="360" w:lineRule="auto"/>
        <w:ind w:firstLine="709"/>
        <w:jc w:val="both"/>
        <w:outlineLvl w:val="0"/>
      </w:pPr>
    </w:p>
    <w:p w:rsidR="002F3715" w:rsidRPr="002F3715" w:rsidRDefault="002F3715" w:rsidP="002F3715">
      <w:pPr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2F3715">
        <w:rPr>
          <w:sz w:val="28"/>
          <w:szCs w:val="28"/>
          <w:lang w:val="ru-RU" w:eastAsia="ru-RU"/>
        </w:rPr>
        <w:t>Утверждение разработанного проекта постановления администрации городского округа Тольятти</w:t>
      </w:r>
      <w:r>
        <w:rPr>
          <w:sz w:val="28"/>
          <w:szCs w:val="28"/>
          <w:lang w:val="ru-RU" w:eastAsia="ru-RU"/>
        </w:rPr>
        <w:t xml:space="preserve"> </w:t>
      </w:r>
      <w:r w:rsidRPr="002F3715">
        <w:rPr>
          <w:sz w:val="28"/>
          <w:szCs w:val="28"/>
          <w:lang w:val="ru-RU" w:eastAsia="ru-RU"/>
        </w:rPr>
        <w:t>о внесении изменений в постановление администрации городского округа Тольятти от 11.04.2018 № 1142-п/1 «Об утверждении схемы размещения нестационарных торговых объектов на территории</w:t>
      </w:r>
      <w:r>
        <w:rPr>
          <w:sz w:val="28"/>
          <w:szCs w:val="28"/>
          <w:lang w:val="ru-RU" w:eastAsia="ru-RU"/>
        </w:rPr>
        <w:t xml:space="preserve"> </w:t>
      </w:r>
      <w:r w:rsidRPr="002F3715">
        <w:rPr>
          <w:sz w:val="28"/>
          <w:szCs w:val="28"/>
          <w:lang w:val="ru-RU" w:eastAsia="ru-RU"/>
        </w:rPr>
        <w:t>городского округа Тольятти»</w:t>
      </w:r>
      <w:r>
        <w:rPr>
          <w:sz w:val="28"/>
          <w:szCs w:val="28"/>
          <w:lang w:val="ru-RU" w:eastAsia="ru-RU"/>
        </w:rPr>
        <w:t xml:space="preserve"> не повлечет затрат из бюджета городского округа Тольятти.</w:t>
      </w:r>
    </w:p>
    <w:p w:rsidR="002F3715" w:rsidRDefault="002F3715" w:rsidP="00734FCB">
      <w:pPr>
        <w:pStyle w:val="ConsPlusNormal"/>
        <w:spacing w:line="360" w:lineRule="auto"/>
        <w:ind w:firstLine="709"/>
        <w:jc w:val="both"/>
        <w:outlineLvl w:val="0"/>
      </w:pPr>
    </w:p>
    <w:p w:rsidR="00734FCB" w:rsidRDefault="00734FCB" w:rsidP="00734FCB">
      <w:pPr>
        <w:pStyle w:val="ConsPlusNormal"/>
        <w:spacing w:line="360" w:lineRule="auto"/>
        <w:ind w:firstLine="709"/>
        <w:jc w:val="both"/>
        <w:outlineLvl w:val="0"/>
      </w:pPr>
    </w:p>
    <w:p w:rsidR="00734FCB" w:rsidRDefault="00734FCB" w:rsidP="00734FCB">
      <w:pPr>
        <w:spacing w:line="360" w:lineRule="auto"/>
        <w:ind w:firstLine="567"/>
        <w:jc w:val="right"/>
        <w:rPr>
          <w:sz w:val="28"/>
          <w:szCs w:val="28"/>
          <w:lang w:val="ru-RU"/>
        </w:rPr>
      </w:pPr>
    </w:p>
    <w:p w:rsidR="002F3715" w:rsidRPr="002F3715" w:rsidRDefault="00491BAF" w:rsidP="002F3715">
      <w:pPr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</w:t>
      </w:r>
      <w:r w:rsidR="002F3715" w:rsidRPr="002F3715">
        <w:rPr>
          <w:sz w:val="28"/>
          <w:szCs w:val="28"/>
          <w:lang w:val="ru-RU"/>
        </w:rPr>
        <w:t>ачальник отдела развития</w:t>
      </w:r>
    </w:p>
    <w:p w:rsidR="002F3715" w:rsidRPr="002F3715" w:rsidRDefault="002F3715" w:rsidP="002F3715">
      <w:pPr>
        <w:spacing w:line="276" w:lineRule="auto"/>
        <w:jc w:val="both"/>
        <w:rPr>
          <w:sz w:val="28"/>
          <w:szCs w:val="28"/>
          <w:lang w:val="ru-RU"/>
        </w:rPr>
      </w:pPr>
      <w:r w:rsidRPr="002F3715">
        <w:rPr>
          <w:sz w:val="28"/>
          <w:szCs w:val="28"/>
          <w:lang w:val="ru-RU"/>
        </w:rPr>
        <w:t xml:space="preserve">потребительского рынка                                                                  </w:t>
      </w:r>
      <w:r w:rsidR="00491BAF">
        <w:rPr>
          <w:sz w:val="28"/>
          <w:szCs w:val="28"/>
          <w:lang w:val="ru-RU"/>
        </w:rPr>
        <w:t xml:space="preserve">В.А. </w:t>
      </w:r>
      <w:proofErr w:type="spellStart"/>
      <w:r w:rsidR="00491BAF">
        <w:rPr>
          <w:sz w:val="28"/>
          <w:szCs w:val="28"/>
          <w:lang w:val="ru-RU"/>
        </w:rPr>
        <w:t>Тюлин</w:t>
      </w:r>
      <w:proofErr w:type="spellEnd"/>
    </w:p>
    <w:p w:rsidR="002F3715" w:rsidRPr="002F3715" w:rsidRDefault="002F3715" w:rsidP="002F3715">
      <w:pPr>
        <w:spacing w:line="276" w:lineRule="auto"/>
        <w:jc w:val="both"/>
        <w:rPr>
          <w:sz w:val="28"/>
          <w:szCs w:val="28"/>
          <w:lang w:val="ru-RU"/>
        </w:rPr>
      </w:pPr>
    </w:p>
    <w:p w:rsidR="002F3715" w:rsidRPr="002F3715" w:rsidRDefault="002F3715" w:rsidP="002F3715">
      <w:pPr>
        <w:spacing w:line="276" w:lineRule="auto"/>
        <w:jc w:val="both"/>
        <w:rPr>
          <w:sz w:val="28"/>
          <w:szCs w:val="28"/>
          <w:lang w:val="ru-RU"/>
        </w:rPr>
      </w:pPr>
    </w:p>
    <w:p w:rsidR="002F3715" w:rsidRPr="002F3715" w:rsidRDefault="002F3715" w:rsidP="002F3715">
      <w:pPr>
        <w:spacing w:line="276" w:lineRule="auto"/>
        <w:jc w:val="both"/>
        <w:rPr>
          <w:sz w:val="28"/>
          <w:szCs w:val="28"/>
          <w:lang w:val="ru-RU"/>
        </w:rPr>
      </w:pPr>
    </w:p>
    <w:p w:rsidR="002F3715" w:rsidRPr="002F3715" w:rsidRDefault="002F3715" w:rsidP="002F3715">
      <w:pPr>
        <w:spacing w:line="276" w:lineRule="auto"/>
        <w:jc w:val="both"/>
        <w:rPr>
          <w:sz w:val="28"/>
          <w:szCs w:val="28"/>
          <w:lang w:val="ru-RU"/>
        </w:rPr>
      </w:pPr>
    </w:p>
    <w:p w:rsidR="002F3715" w:rsidRPr="002F3715" w:rsidRDefault="002F3715" w:rsidP="002F3715">
      <w:pPr>
        <w:spacing w:line="276" w:lineRule="auto"/>
        <w:jc w:val="both"/>
        <w:rPr>
          <w:sz w:val="28"/>
          <w:szCs w:val="28"/>
          <w:lang w:val="ru-RU"/>
        </w:rPr>
      </w:pPr>
    </w:p>
    <w:p w:rsidR="002F3715" w:rsidRPr="002F3715" w:rsidRDefault="002F3715" w:rsidP="002F3715">
      <w:pPr>
        <w:spacing w:line="276" w:lineRule="auto"/>
        <w:jc w:val="both"/>
        <w:rPr>
          <w:sz w:val="28"/>
          <w:szCs w:val="28"/>
          <w:lang w:val="ru-RU"/>
        </w:rPr>
      </w:pPr>
    </w:p>
    <w:p w:rsidR="002F3715" w:rsidRPr="002F3715" w:rsidRDefault="002F3715" w:rsidP="002F3715">
      <w:pPr>
        <w:spacing w:line="276" w:lineRule="auto"/>
        <w:jc w:val="both"/>
        <w:rPr>
          <w:sz w:val="28"/>
          <w:szCs w:val="28"/>
          <w:lang w:val="ru-RU"/>
        </w:rPr>
      </w:pPr>
    </w:p>
    <w:p w:rsidR="002F3715" w:rsidRPr="002F3715" w:rsidRDefault="002F3715" w:rsidP="002F3715">
      <w:pPr>
        <w:spacing w:line="276" w:lineRule="auto"/>
        <w:jc w:val="both"/>
        <w:rPr>
          <w:sz w:val="28"/>
          <w:szCs w:val="28"/>
          <w:lang w:val="ru-RU"/>
        </w:rPr>
      </w:pPr>
    </w:p>
    <w:p w:rsidR="002F3715" w:rsidRPr="002F3715" w:rsidRDefault="002F3715" w:rsidP="002F3715">
      <w:pPr>
        <w:spacing w:line="276" w:lineRule="auto"/>
        <w:jc w:val="both"/>
        <w:rPr>
          <w:sz w:val="28"/>
          <w:szCs w:val="28"/>
          <w:lang w:val="ru-RU"/>
        </w:rPr>
      </w:pPr>
    </w:p>
    <w:p w:rsidR="002F3715" w:rsidRDefault="002F3715" w:rsidP="002F3715">
      <w:pPr>
        <w:spacing w:line="276" w:lineRule="auto"/>
        <w:jc w:val="both"/>
        <w:rPr>
          <w:sz w:val="28"/>
          <w:szCs w:val="28"/>
          <w:lang w:val="ru-RU"/>
        </w:rPr>
      </w:pPr>
      <w:bookmarkStart w:id="0" w:name="_GoBack"/>
      <w:bookmarkEnd w:id="0"/>
    </w:p>
    <w:p w:rsidR="002F3715" w:rsidRDefault="002F3715" w:rsidP="002F3715">
      <w:pPr>
        <w:spacing w:line="276" w:lineRule="auto"/>
        <w:jc w:val="both"/>
        <w:rPr>
          <w:sz w:val="28"/>
          <w:szCs w:val="28"/>
          <w:lang w:val="ru-RU"/>
        </w:rPr>
      </w:pPr>
    </w:p>
    <w:p w:rsidR="002F3715" w:rsidRDefault="002F3715" w:rsidP="002F3715">
      <w:pPr>
        <w:spacing w:line="276" w:lineRule="auto"/>
        <w:jc w:val="both"/>
        <w:rPr>
          <w:sz w:val="28"/>
          <w:szCs w:val="28"/>
          <w:lang w:val="ru-RU"/>
        </w:rPr>
      </w:pPr>
    </w:p>
    <w:p w:rsidR="002F3715" w:rsidRDefault="002F3715" w:rsidP="002F3715">
      <w:pPr>
        <w:spacing w:line="276" w:lineRule="auto"/>
        <w:jc w:val="both"/>
        <w:rPr>
          <w:sz w:val="28"/>
          <w:szCs w:val="28"/>
          <w:lang w:val="ru-RU"/>
        </w:rPr>
      </w:pPr>
    </w:p>
    <w:p w:rsidR="002F3715" w:rsidRDefault="002F3715" w:rsidP="002F3715">
      <w:pPr>
        <w:spacing w:line="276" w:lineRule="auto"/>
        <w:jc w:val="both"/>
        <w:rPr>
          <w:sz w:val="28"/>
          <w:szCs w:val="28"/>
          <w:lang w:val="ru-RU"/>
        </w:rPr>
      </w:pPr>
    </w:p>
    <w:p w:rsidR="002F3715" w:rsidRPr="002F3715" w:rsidRDefault="002F3715" w:rsidP="002F3715">
      <w:pPr>
        <w:spacing w:line="276" w:lineRule="auto"/>
        <w:jc w:val="both"/>
        <w:rPr>
          <w:sz w:val="28"/>
          <w:szCs w:val="28"/>
          <w:lang w:val="ru-RU"/>
        </w:rPr>
      </w:pPr>
    </w:p>
    <w:sectPr w:rsidR="002F3715" w:rsidRPr="002F3715" w:rsidSect="00F02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385B"/>
    <w:rsid w:val="00153FD4"/>
    <w:rsid w:val="002F3715"/>
    <w:rsid w:val="00373C99"/>
    <w:rsid w:val="003E3BDF"/>
    <w:rsid w:val="00491BAF"/>
    <w:rsid w:val="00651B70"/>
    <w:rsid w:val="00734FCB"/>
    <w:rsid w:val="00845D88"/>
    <w:rsid w:val="00873E07"/>
    <w:rsid w:val="008F5BC4"/>
    <w:rsid w:val="0092385B"/>
    <w:rsid w:val="00A0247F"/>
    <w:rsid w:val="00A94707"/>
    <w:rsid w:val="00AD0F84"/>
    <w:rsid w:val="00B203C6"/>
    <w:rsid w:val="00B60BFA"/>
    <w:rsid w:val="00BD4C29"/>
    <w:rsid w:val="00F02C51"/>
    <w:rsid w:val="00F03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F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4FCB"/>
    <w:pPr>
      <w:spacing w:after="180"/>
    </w:pPr>
    <w:rPr>
      <w:lang w:val="ru-RU" w:eastAsia="ru-RU"/>
    </w:rPr>
  </w:style>
  <w:style w:type="paragraph" w:styleId="a4">
    <w:name w:val="Subtitle"/>
    <w:basedOn w:val="a"/>
    <w:link w:val="a5"/>
    <w:uiPriority w:val="99"/>
    <w:qFormat/>
    <w:rsid w:val="00734FCB"/>
    <w:pPr>
      <w:jc w:val="center"/>
    </w:pPr>
    <w:rPr>
      <w:b/>
      <w:i/>
      <w:szCs w:val="20"/>
    </w:rPr>
  </w:style>
  <w:style w:type="character" w:customStyle="1" w:styleId="a5">
    <w:name w:val="Подзаголовок Знак"/>
    <w:basedOn w:val="a0"/>
    <w:link w:val="a4"/>
    <w:uiPriority w:val="99"/>
    <w:rsid w:val="00734FCB"/>
    <w:rPr>
      <w:rFonts w:ascii="Times New Roman" w:eastAsia="Times New Roman" w:hAnsi="Times New Roman" w:cs="Times New Roman"/>
      <w:b/>
      <w:i/>
      <w:sz w:val="24"/>
      <w:szCs w:val="20"/>
      <w:lang w:val="en-US"/>
    </w:rPr>
  </w:style>
  <w:style w:type="paragraph" w:styleId="a6">
    <w:name w:val="List Paragraph"/>
    <w:basedOn w:val="a"/>
    <w:uiPriority w:val="34"/>
    <w:qFormat/>
    <w:rsid w:val="00734FCB"/>
    <w:pPr>
      <w:ind w:left="720"/>
      <w:contextualSpacing/>
      <w:jc w:val="both"/>
    </w:pPr>
    <w:rPr>
      <w:rFonts w:ascii="Calibri" w:eastAsia="Calibri" w:hAnsi="Calibri"/>
      <w:sz w:val="22"/>
      <w:szCs w:val="22"/>
      <w:lang w:val="ru-RU"/>
    </w:rPr>
  </w:style>
  <w:style w:type="paragraph" w:customStyle="1" w:styleId="ConsPlusNonformat">
    <w:name w:val="ConsPlusNonformat"/>
    <w:uiPriority w:val="99"/>
    <w:rsid w:val="00734FC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734F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0247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247F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F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4FCB"/>
    <w:pPr>
      <w:spacing w:after="180"/>
    </w:pPr>
    <w:rPr>
      <w:lang w:val="ru-RU" w:eastAsia="ru-RU"/>
    </w:rPr>
  </w:style>
  <w:style w:type="paragraph" w:styleId="a4">
    <w:name w:val="Subtitle"/>
    <w:basedOn w:val="a"/>
    <w:link w:val="a5"/>
    <w:uiPriority w:val="99"/>
    <w:qFormat/>
    <w:rsid w:val="00734FCB"/>
    <w:pPr>
      <w:jc w:val="center"/>
    </w:pPr>
    <w:rPr>
      <w:b/>
      <w:i/>
      <w:szCs w:val="20"/>
    </w:rPr>
  </w:style>
  <w:style w:type="character" w:customStyle="1" w:styleId="a5">
    <w:name w:val="Подзаголовок Знак"/>
    <w:basedOn w:val="a0"/>
    <w:link w:val="a4"/>
    <w:uiPriority w:val="99"/>
    <w:rsid w:val="00734FCB"/>
    <w:rPr>
      <w:rFonts w:ascii="Times New Roman" w:eastAsia="Times New Roman" w:hAnsi="Times New Roman" w:cs="Times New Roman"/>
      <w:b/>
      <w:i/>
      <w:sz w:val="24"/>
      <w:szCs w:val="20"/>
      <w:lang w:val="en-US"/>
    </w:rPr>
  </w:style>
  <w:style w:type="paragraph" w:styleId="a6">
    <w:name w:val="List Paragraph"/>
    <w:basedOn w:val="a"/>
    <w:uiPriority w:val="34"/>
    <w:qFormat/>
    <w:rsid w:val="00734FCB"/>
    <w:pPr>
      <w:ind w:left="720"/>
      <w:contextualSpacing/>
      <w:jc w:val="both"/>
    </w:pPr>
    <w:rPr>
      <w:rFonts w:ascii="Calibri" w:eastAsia="Calibri" w:hAnsi="Calibri"/>
      <w:sz w:val="22"/>
      <w:szCs w:val="22"/>
      <w:lang w:val="ru-RU"/>
    </w:rPr>
  </w:style>
  <w:style w:type="paragraph" w:customStyle="1" w:styleId="ConsPlusNonformat">
    <w:name w:val="ConsPlusNonformat"/>
    <w:uiPriority w:val="99"/>
    <w:rsid w:val="00734FC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734F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0247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247F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0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fedkaev.sn</cp:lastModifiedBy>
  <cp:revision>3</cp:revision>
  <cp:lastPrinted>2019-08-14T04:49:00Z</cp:lastPrinted>
  <dcterms:created xsi:type="dcterms:W3CDTF">2019-11-07T11:06:00Z</dcterms:created>
  <dcterms:modified xsi:type="dcterms:W3CDTF">2019-11-07T11:07:00Z</dcterms:modified>
</cp:coreProperties>
</file>