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7C" w:rsidRDefault="00F4317C">
      <w:pPr>
        <w:pStyle w:val="ConsPlusTitle"/>
        <w:jc w:val="center"/>
        <w:outlineLvl w:val="0"/>
      </w:pPr>
      <w:r>
        <w:t>МЭРИЯ ГОРОДСКОГО ОКРУГА ТОЛЬЯТТИ</w:t>
      </w:r>
    </w:p>
    <w:p w:rsidR="00F4317C" w:rsidRDefault="00F4317C">
      <w:pPr>
        <w:pStyle w:val="ConsPlusTitle"/>
        <w:jc w:val="center"/>
      </w:pPr>
      <w:r>
        <w:t>САМАРСКОЙ ОБЛАСТИ</w:t>
      </w:r>
    </w:p>
    <w:p w:rsidR="00F4317C" w:rsidRDefault="00F4317C">
      <w:pPr>
        <w:pStyle w:val="ConsPlusTitle"/>
        <w:jc w:val="both"/>
      </w:pPr>
    </w:p>
    <w:p w:rsidR="00F4317C" w:rsidRDefault="00F4317C">
      <w:pPr>
        <w:pStyle w:val="ConsPlusTitle"/>
        <w:jc w:val="center"/>
      </w:pPr>
      <w:r>
        <w:t>ПОСТАНОВЛЕНИЕ</w:t>
      </w:r>
    </w:p>
    <w:p w:rsidR="00F4317C" w:rsidRDefault="00F4317C">
      <w:pPr>
        <w:pStyle w:val="ConsPlusTitle"/>
        <w:jc w:val="center"/>
      </w:pPr>
      <w:r>
        <w:t>от 11 июля 2013 г. N 2254-п/1</w:t>
      </w:r>
    </w:p>
    <w:p w:rsidR="00F4317C" w:rsidRDefault="00F4317C">
      <w:pPr>
        <w:pStyle w:val="ConsPlusTitle"/>
        <w:jc w:val="both"/>
      </w:pPr>
    </w:p>
    <w:p w:rsidR="00F4317C" w:rsidRDefault="00F4317C">
      <w:pPr>
        <w:pStyle w:val="ConsPlusTitle"/>
        <w:jc w:val="center"/>
      </w:pPr>
      <w:r>
        <w:t xml:space="preserve">О ПРЕДОСТАВЛЕНИИ СУБСИДИЙ </w:t>
      </w:r>
      <w:proofErr w:type="gramStart"/>
      <w:r>
        <w:t>ЮРИДИЧЕСКИМ</w:t>
      </w:r>
      <w:proofErr w:type="gramEnd"/>
    </w:p>
    <w:p w:rsidR="00F4317C" w:rsidRDefault="00F4317C">
      <w:pPr>
        <w:pStyle w:val="ConsPlusTitle"/>
        <w:jc w:val="center"/>
      </w:pPr>
      <w:proofErr w:type="gramStart"/>
      <w:r>
        <w:t>ЛИЦАМ (ЗА ИСКЛЮЧЕНИЕМ СУБСИДИЙ ГОСУДАРСТВЕННЫМ</w:t>
      </w:r>
      <w:proofErr w:type="gramEnd"/>
    </w:p>
    <w:p w:rsidR="00F4317C" w:rsidRDefault="00F4317C">
      <w:pPr>
        <w:pStyle w:val="ConsPlusTitle"/>
        <w:jc w:val="center"/>
      </w:pPr>
      <w:proofErr w:type="gramStart"/>
      <w:r>
        <w:t>(МУНИЦИПАЛЬНЫМ) УЧРЕЖДЕНИЯМ), ИНДИВИДУАЛЬНЫМ</w:t>
      </w:r>
      <w:proofErr w:type="gramEnd"/>
    </w:p>
    <w:p w:rsidR="00F4317C" w:rsidRDefault="00F4317C">
      <w:pPr>
        <w:pStyle w:val="ConsPlusTitle"/>
        <w:jc w:val="center"/>
      </w:pPr>
      <w:r>
        <w:t>ПРЕДПРИНИМАТЕЛЯМ - ПРОИЗВОДИТЕЛЯМ ТОВАРОВ, РАБОТ, УСЛУГ</w:t>
      </w:r>
    </w:p>
    <w:p w:rsidR="00F4317C" w:rsidRDefault="00F4317C">
      <w:pPr>
        <w:pStyle w:val="ConsPlusTitle"/>
        <w:jc w:val="center"/>
      </w:pPr>
      <w:r>
        <w:t>В ЦЕЛЯХ ВОЗМЕЩЕНИЯ ЗАТРАТ НА КАПИТАЛЬНЫЙ РЕМОНТ</w:t>
      </w:r>
    </w:p>
    <w:p w:rsidR="00F4317C" w:rsidRDefault="00F4317C">
      <w:pPr>
        <w:pStyle w:val="ConsPlusTitle"/>
        <w:jc w:val="center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городского округа Тольятти Самарской области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10.10.2013 </w:t>
            </w:r>
            <w:hyperlink r:id="rId5">
              <w:r>
                <w:rPr>
                  <w:color w:val="0000FF"/>
                </w:rPr>
                <w:t>N 3119-п/1</w:t>
              </w:r>
            </w:hyperlink>
            <w:r>
              <w:rPr>
                <w:color w:val="392C69"/>
              </w:rPr>
              <w:t xml:space="preserve">, от 21.01.2014 </w:t>
            </w:r>
            <w:hyperlink r:id="rId6">
              <w:r>
                <w:rPr>
                  <w:color w:val="0000FF"/>
                </w:rPr>
                <w:t>N 135-п/1</w:t>
              </w:r>
            </w:hyperlink>
            <w:r>
              <w:rPr>
                <w:color w:val="392C69"/>
              </w:rPr>
              <w:t xml:space="preserve">, от 06.10.2014 </w:t>
            </w:r>
            <w:hyperlink r:id="rId7">
              <w:r>
                <w:rPr>
                  <w:color w:val="0000FF"/>
                </w:rPr>
                <w:t>N 3720-п/1</w:t>
              </w:r>
            </w:hyperlink>
            <w:r>
              <w:rPr>
                <w:color w:val="392C69"/>
              </w:rPr>
              <w:t>,</w:t>
            </w:r>
          </w:p>
          <w:p w:rsidR="00F4317C" w:rsidRDefault="00F4317C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color w:val="392C69"/>
              </w:rPr>
              <w:t xml:space="preserve">от 19.12.2014 </w:t>
            </w:r>
            <w:hyperlink r:id="rId8">
              <w:r>
                <w:rPr>
                  <w:color w:val="0000FF"/>
                </w:rPr>
                <w:t>N 4815-п/1</w:t>
              </w:r>
            </w:hyperlink>
            <w:r>
              <w:rPr>
                <w:color w:val="392C69"/>
              </w:rPr>
              <w:t xml:space="preserve">, от 30.12.2014 </w:t>
            </w:r>
            <w:hyperlink r:id="rId9">
              <w:r>
                <w:rPr>
                  <w:color w:val="0000FF"/>
                </w:rPr>
                <w:t>N 4981-п/1</w:t>
              </w:r>
            </w:hyperlink>
            <w:r>
              <w:rPr>
                <w:color w:val="392C69"/>
              </w:rPr>
              <w:t xml:space="preserve">, от 20.03.2015 </w:t>
            </w:r>
            <w:hyperlink r:id="rId10">
              <w:r>
                <w:rPr>
                  <w:color w:val="0000FF"/>
                </w:rPr>
                <w:t>N 858-п/1</w:t>
              </w:r>
            </w:hyperlink>
            <w:r>
              <w:rPr>
                <w:color w:val="392C69"/>
              </w:rPr>
              <w:t>,</w:t>
            </w:r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Тольятти Самарской области</w:t>
            </w:r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08.06.2017 </w:t>
            </w:r>
            <w:hyperlink r:id="rId11">
              <w:r>
                <w:rPr>
                  <w:color w:val="0000FF"/>
                </w:rPr>
                <w:t>N 1874-п/1</w:t>
              </w:r>
            </w:hyperlink>
            <w:r>
              <w:rPr>
                <w:color w:val="392C69"/>
              </w:rPr>
              <w:t xml:space="preserve">, от 04.08.2017 </w:t>
            </w:r>
            <w:hyperlink r:id="rId12">
              <w:r>
                <w:rPr>
                  <w:color w:val="0000FF"/>
                </w:rPr>
                <w:t>N 2673-п/1</w:t>
              </w:r>
            </w:hyperlink>
            <w:r>
              <w:rPr>
                <w:color w:val="392C69"/>
              </w:rPr>
              <w:t>,</w:t>
            </w:r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18.05.2018 </w:t>
            </w:r>
            <w:hyperlink r:id="rId13">
              <w:r>
                <w:rPr>
                  <w:color w:val="0000FF"/>
                </w:rPr>
                <w:t>N 1493-п/1</w:t>
              </w:r>
            </w:hyperlink>
            <w:r>
              <w:rPr>
                <w:color w:val="392C69"/>
              </w:rPr>
              <w:t xml:space="preserve">, от 19.10.2018 </w:t>
            </w:r>
            <w:hyperlink r:id="rId14">
              <w:r>
                <w:rPr>
                  <w:color w:val="0000FF"/>
                </w:rPr>
                <w:t>N 3124-п/1</w:t>
              </w:r>
            </w:hyperlink>
            <w:r>
              <w:rPr>
                <w:color w:val="392C69"/>
              </w:rPr>
              <w:t xml:space="preserve">, от 15.03.2019 </w:t>
            </w:r>
            <w:hyperlink r:id="rId15">
              <w:r>
                <w:rPr>
                  <w:color w:val="0000FF"/>
                </w:rPr>
                <w:t>N 708-п/1</w:t>
              </w:r>
            </w:hyperlink>
            <w:r>
              <w:rPr>
                <w:color w:val="392C69"/>
              </w:rPr>
              <w:t>,</w:t>
            </w:r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6">
              <w:r>
                <w:rPr>
                  <w:color w:val="0000FF"/>
                </w:rPr>
                <w:t>N 1943-п/1</w:t>
              </w:r>
            </w:hyperlink>
            <w:r>
              <w:rPr>
                <w:color w:val="392C69"/>
              </w:rPr>
              <w:t xml:space="preserve">, от 15.12.2021 </w:t>
            </w:r>
            <w:hyperlink r:id="rId17">
              <w:r>
                <w:rPr>
                  <w:color w:val="0000FF"/>
                </w:rPr>
                <w:t>N 3783-п/1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proofErr w:type="gramStart"/>
      <w:r>
        <w:t xml:space="preserve">В целях создания условий для управления многоквартирными домами, благоприятных условий проживания граждан, способствующих обеспечению внедрения ресурсосберегающих технологий, в соответствии с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1">
        <w:r>
          <w:rPr>
            <w:color w:val="0000FF"/>
          </w:rPr>
          <w:t>Уставом</w:t>
        </w:r>
      </w:hyperlink>
      <w:r>
        <w:t xml:space="preserve"> городского округа Тольятти мэрия городского округа Тольятти постановляет: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1. Утвердить прилагаемый </w:t>
      </w:r>
      <w:hyperlink w:anchor="P49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 на капитальный ремонт многоквартирных домов городского округа Тольятти.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18.05.2018 N 1493-п/1)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2" w:name="P25"/>
      <w:bookmarkEnd w:id="2"/>
      <w:r>
        <w:t>2. Установить расходное обязательство городского округа Тольятти на возмещение затрат на капитальный ремонт общего имущества многоквартирных домов городского округа Тольятти.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18.05.2018 N 1493-п/1)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2.1. Установить, что расходное обязательство, установленное в </w:t>
      </w:r>
      <w:hyperlink w:anchor="P25">
        <w:r>
          <w:rPr>
            <w:color w:val="0000FF"/>
          </w:rPr>
          <w:t>пункте 2</w:t>
        </w:r>
      </w:hyperlink>
      <w:r>
        <w:t xml:space="preserve"> настоящего Постановления, осуществляется за счет средств бюджета городского округа Тольятти.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2.2. Установить, что предоставление субсидий на цели, указанные в </w:t>
      </w:r>
      <w:hyperlink w:anchor="P25">
        <w:r>
          <w:rPr>
            <w:color w:val="0000FF"/>
          </w:rPr>
          <w:t>пункте 2</w:t>
        </w:r>
      </w:hyperlink>
      <w:r>
        <w:t xml:space="preserve"> настоящего Постановления, осуществляется в соответствии с Порядком, утвержденным </w:t>
      </w:r>
      <w:hyperlink w:anchor="P23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3. Установить, что исполнение расходного обязательства городского округа Тольятти, указанного в </w:t>
      </w:r>
      <w:hyperlink w:anchor="P25">
        <w:r>
          <w:rPr>
            <w:color w:val="0000FF"/>
          </w:rPr>
          <w:t>п. 2</w:t>
        </w:r>
      </w:hyperlink>
      <w:r>
        <w:t xml:space="preserve"> настоящего Постановления, осуществляется за счет средств бюджета городского </w:t>
      </w:r>
      <w:r>
        <w:lastRenderedPageBreak/>
        <w:t>округа Тольятти в пределах лимитов бюджетных обязательств, доведенных Департаменту городского хозяйства администрации городского округа Тольятти.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08.06.2017 N 1874-п/1)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4. Управлению по оргработе и связям с общественностью мэрии городского округа Тольятти опубликовать настоящее Постановление в газете "Городские ведомости".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городского округа.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04.08.2017 N 2673-п/1)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</w:pPr>
      <w:r>
        <w:t>Мэр</w:t>
      </w:r>
    </w:p>
    <w:p w:rsidR="00F4317C" w:rsidRDefault="00F4317C">
      <w:pPr>
        <w:pStyle w:val="ConsPlusNormal"/>
        <w:jc w:val="right"/>
      </w:pPr>
      <w:r>
        <w:t>С.И.АНДРЕЕВ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0"/>
      </w:pPr>
      <w:r>
        <w:t>Утвержден</w:t>
      </w:r>
    </w:p>
    <w:p w:rsidR="00F4317C" w:rsidRDefault="00F4317C">
      <w:pPr>
        <w:pStyle w:val="ConsPlusNormal"/>
        <w:jc w:val="right"/>
      </w:pPr>
      <w:r>
        <w:t>Постановлением</w:t>
      </w:r>
    </w:p>
    <w:p w:rsidR="00F4317C" w:rsidRDefault="00F4317C">
      <w:pPr>
        <w:pStyle w:val="ConsPlusNormal"/>
        <w:jc w:val="right"/>
      </w:pPr>
      <w:r>
        <w:t>мэрии городского округа Тольятти</w:t>
      </w:r>
    </w:p>
    <w:p w:rsidR="00F4317C" w:rsidRDefault="00F4317C">
      <w:pPr>
        <w:pStyle w:val="ConsPlusNormal"/>
        <w:jc w:val="right"/>
      </w:pPr>
      <w:r>
        <w:t>от 11 июля 2013 г. N 2254-п/1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</w:pPr>
      <w:bookmarkStart w:id="3" w:name="P49"/>
      <w:bookmarkEnd w:id="3"/>
      <w:r>
        <w:t>ПОРЯДОК</w:t>
      </w:r>
    </w:p>
    <w:p w:rsidR="00F4317C" w:rsidRDefault="00F4317C">
      <w:pPr>
        <w:pStyle w:val="ConsPlusTitle"/>
        <w:jc w:val="center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Title"/>
        <w:jc w:val="center"/>
      </w:pPr>
      <w:proofErr w:type="gramStart"/>
      <w:r>
        <w:t>СУБСИДИЙ ГОСУДАРСТВЕННЫМ (МУНИЦИПАЛЬНЫМ) УЧРЕЖДЕНИЯМ),</w:t>
      </w:r>
      <w:proofErr w:type="gramEnd"/>
    </w:p>
    <w:p w:rsidR="00F4317C" w:rsidRDefault="00F4317C">
      <w:pPr>
        <w:pStyle w:val="ConsPlusTitle"/>
        <w:jc w:val="center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Title"/>
        <w:jc w:val="center"/>
      </w:pPr>
      <w:r>
        <w:t xml:space="preserve">РАБОТ, УСЛУГ В ЦЕЛЯХ ВОЗМЕЩЕНИЯ ЗАТРАТ НА </w:t>
      </w:r>
      <w:proofErr w:type="gramStart"/>
      <w:r>
        <w:t>КАПИТАЛЬНЫЙ</w:t>
      </w:r>
      <w:proofErr w:type="gramEnd"/>
    </w:p>
    <w:p w:rsidR="00F4317C" w:rsidRDefault="00F4317C">
      <w:pPr>
        <w:pStyle w:val="ConsPlusTitle"/>
        <w:jc w:val="center"/>
      </w:pPr>
      <w:r>
        <w:t>РЕМОНТ 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Тольятти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18.05.2018 </w:t>
            </w:r>
            <w:hyperlink r:id="rId28">
              <w:r>
                <w:rPr>
                  <w:color w:val="0000FF"/>
                </w:rPr>
                <w:t>N 1493-п/1</w:t>
              </w:r>
            </w:hyperlink>
            <w:r>
              <w:rPr>
                <w:color w:val="392C69"/>
              </w:rPr>
              <w:t xml:space="preserve">, от 19.10.2018 </w:t>
            </w:r>
            <w:hyperlink r:id="rId29">
              <w:r>
                <w:rPr>
                  <w:color w:val="0000FF"/>
                </w:rPr>
                <w:t>N 3124-п/1</w:t>
              </w:r>
            </w:hyperlink>
            <w:r>
              <w:rPr>
                <w:color w:val="392C69"/>
              </w:rPr>
              <w:t>,</w:t>
            </w:r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15.03.2019 </w:t>
            </w:r>
            <w:hyperlink r:id="rId30">
              <w:r>
                <w:rPr>
                  <w:color w:val="0000FF"/>
                </w:rPr>
                <w:t>N 708-п/1</w:t>
              </w:r>
            </w:hyperlink>
            <w:r>
              <w:rPr>
                <w:color w:val="392C69"/>
              </w:rPr>
              <w:t xml:space="preserve">, от 29.06.2020 </w:t>
            </w:r>
            <w:hyperlink r:id="rId31">
              <w:r>
                <w:rPr>
                  <w:color w:val="0000FF"/>
                </w:rPr>
                <w:t>N 1943-п/1</w:t>
              </w:r>
            </w:hyperlink>
            <w:r>
              <w:rPr>
                <w:color w:val="392C69"/>
              </w:rPr>
              <w:t xml:space="preserve">, от 15.12.2021 </w:t>
            </w:r>
            <w:hyperlink r:id="rId32">
              <w:r>
                <w:rPr>
                  <w:color w:val="0000FF"/>
                </w:rPr>
                <w:t>N 3783-п/1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Бюджетным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>
        <w:t xml:space="preserve">, </w:t>
      </w:r>
      <w:proofErr w:type="gramStart"/>
      <w:r>
        <w:t>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целях реализации мероприятий муниципальных программ городского округа Тольятти, устанавливает механизм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в целях возмещения затрат, связанных с оказанием услуг и (или) выполнением работ по капитальному</w:t>
      </w:r>
      <w:proofErr w:type="gramEnd"/>
      <w:r>
        <w:t xml:space="preserve"> ремонту многоквартирных домов городского округа Тольятти (далее - </w:t>
      </w:r>
      <w:r>
        <w:lastRenderedPageBreak/>
        <w:t>Субсидии).</w:t>
      </w:r>
    </w:p>
    <w:p w:rsidR="00F4317C" w:rsidRDefault="00F4317C">
      <w:pPr>
        <w:pStyle w:val="ConsPlusNormal"/>
        <w:jc w:val="both"/>
      </w:pPr>
      <w:r>
        <w:t xml:space="preserve">(п. 1.1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1.2. Субсидии предоставляются в целях возмещения затрат, связанных с оказанием услуг и (или) выполнением работ по капитальному ремонту многоквартирных домов городского округа Тольятти, в том числе затрат на проведение </w:t>
      </w:r>
      <w:proofErr w:type="gramStart"/>
      <w:r>
        <w:t>проверки достоверности определения сметной стоимости капитального ремонта многоквартирных</w:t>
      </w:r>
      <w:proofErr w:type="gramEnd"/>
      <w:r>
        <w:t xml:space="preserve"> домов, в рамках реализации мероприятий, предусмотренных: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19.10.2018 N 3124-п/1)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муниципальной </w:t>
      </w:r>
      <w:hyperlink r:id="rId40">
        <w:r>
          <w:rPr>
            <w:color w:val="0000FF"/>
          </w:rPr>
          <w:t>программой</w:t>
        </w:r>
      </w:hyperlink>
      <w:r>
        <w:t xml:space="preserve"> "Капитальный ремонт многоквартирных домов городского округа Тольятти на 2019 - 2023 годы", утвержденной постановлением администрации городского округа Тольятти от 11.07.2018 N 2036-п/1;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15.03.2019 N 708-п/1)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15.12.2021 N 3783-п/1;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муниципальной </w:t>
      </w:r>
      <w:hyperlink r:id="rId43">
        <w:r>
          <w:rPr>
            <w:color w:val="0000FF"/>
          </w:rPr>
          <w:t>программой</w:t>
        </w:r>
      </w:hyperlink>
      <w:r>
        <w:t xml:space="preserve"> "Благоустройство территории городского округа Тольятти на 2015 - 2024 годы", утвержденной постановлением мэрии городского округа Тольятти от 24.03.2015 N 905-п/1.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Перечень мероприятий определяется муниципальными программами с учетом наличия финансирования и указывается в извещении о проведении отбора получателей Субсидий в целях возмещения затрат на капитальный ремонт многоквартирных домов городского округа Тольятти (далее - извещение).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1.3. Главным распорядителем бюджетных средств, до которого как получателя бюджетных средств доведены лимиты бюджетных обязательств на предоставление Субсидий, является департамент городского хозяйства администрации городского округа Тольятти (далее - Департамент).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Субсидии предоставляются на безвозмездной и безвозвратной основе за счет средств бюджета городского округа Тольятти, в том числе за счет поступлений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в пределах утвержденных бюджетных ассигнований и доведенных лимитов бюджетных обязательств, предусмотренных Департаменту на соответствующие цели.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1.5. К категории получателей Субсидий относятся: 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 домом (далее - Управляющие организации).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1.6. Отбор Управляющих организаций в целях предоставления Субсидий осуществляется комиссией по рассмотрению заявок на предоставление субсидий в целях возмещения затрат на капитальный ремонт многоквартирных домов (далее - Комиссия), которая осуществляет свою деятельность на основании </w:t>
      </w:r>
      <w:hyperlink w:anchor="P230">
        <w:r>
          <w:rPr>
            <w:color w:val="0000FF"/>
          </w:rPr>
          <w:t>Положения</w:t>
        </w:r>
      </w:hyperlink>
      <w:r>
        <w:t xml:space="preserve"> о комиссии (Приложение N 1 к настоящему Порядку). Отбор осуществляется в порядке, предусмотренном </w:t>
      </w:r>
      <w:hyperlink w:anchor="P84">
        <w:r>
          <w:rPr>
            <w:color w:val="0000FF"/>
          </w:rPr>
          <w:t>разделом II</w:t>
        </w:r>
      </w:hyperlink>
      <w:r>
        <w:t xml:space="preserve"> настоящего Порядка, из Управляющих организаций, соответствующих следующим критериям: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lastRenderedPageBreak/>
        <w:t xml:space="preserve">- наличие лицензии на осуществление предпринимательской деятельности по управлению многоквартирными домами, за исключением случаев, предусмотренных </w:t>
      </w:r>
      <w:hyperlink r:id="rId44">
        <w:r>
          <w:rPr>
            <w:color w:val="0000FF"/>
          </w:rPr>
          <w:t>п. 1.3 ст. 161</w:t>
        </w:r>
      </w:hyperlink>
      <w:r>
        <w:t xml:space="preserve"> Жилищного кодекса Российской Федерации;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осуществление деятельности по управлению многоквартирными домами, в отношении которых имеется необходимость в оказании услуг и (или) выполнении работ по капитальному ремонту многоквартирного дома, подтвержденная заключениями, предписаниями, распоряжениями надзорных органов либо актами или заключениями комиссии о неудовлетворительном техническом состоянии и необходимости выполнения капитального ремонта многоквартирного дома либо его элементов (систем);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наличие </w:t>
      </w:r>
      <w:proofErr w:type="spellStart"/>
      <w:r>
        <w:t>софинансирования</w:t>
      </w:r>
      <w:proofErr w:type="spellEnd"/>
      <w:r>
        <w:t xml:space="preserve"> собственниками помещений в многоквартирном доме и (или) Управляющей организацией. Размер </w:t>
      </w:r>
      <w:proofErr w:type="spellStart"/>
      <w:r>
        <w:t>софинансирования</w:t>
      </w:r>
      <w:proofErr w:type="spellEnd"/>
      <w:r>
        <w:t xml:space="preserve"> определяется в процентном отношении к стоимости услуг и (или) работ по капитальному ремонту многоквартирного дома и устанавливается муниципальной программой.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 xml:space="preserve">К затратам, учитываемым в целях предоставления субсидий, в рамках реализации мероприятий, предусмотренных муниципальными программами, указанными в </w:t>
      </w:r>
      <w:hyperlink w:anchor="P64">
        <w:r>
          <w:rPr>
            <w:color w:val="0000FF"/>
          </w:rPr>
          <w:t>п. 1.2</w:t>
        </w:r>
      </w:hyperlink>
      <w:r>
        <w:t xml:space="preserve"> настоящего Порядка, относятся затраты, связанные с оказанием услуг и (или) выполнением работ по капитальному ремонту многоквартирных домов, понесенные Управляющей организацией в период с момента заключения соглашения на предоставление Субсидии до истечения срока, предусмотренного данным соглашением, включая затраты на проведение проверки достоверности определения</w:t>
      </w:r>
      <w:proofErr w:type="gramEnd"/>
      <w:r>
        <w:t xml:space="preserve"> сметной стоимости капитального ремонта объекта капитального строительства, понесенные не ранее чем за 1 год до даты подачи заявки, а в случае необходимости, установленной законодательством, - затраты на проведение экспертизы проектной документации, понесенные не ранее чем за 3 года до даты подачи заявки.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1.8. Управляющие организации, представившие документы в соответствии с настоящим Порядком, несут установленную действующим законодательством ответственность за достоверность содержащейся в них информации.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1.9. Понятия и термины используются в настоящем Порядке в значении, определенном действующим законодательством.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Думы городского округа Тольятти (проекта решения Думы городского округа Тольятти о внесении изменений в решение Думы городского округа Тольятти) о бюджете городского округа Тольятти на соответствующий финансовый год и плановый период.</w:t>
      </w:r>
      <w:proofErr w:type="gramEnd"/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1.10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  <w:outlineLvl w:val="1"/>
      </w:pPr>
      <w:bookmarkStart w:id="7" w:name="P84"/>
      <w:bookmarkEnd w:id="7"/>
      <w:r>
        <w:t>II. Условия и порядок предоставления Субсидий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 xml:space="preserve">2.1. </w:t>
      </w:r>
      <w:proofErr w:type="gramStart"/>
      <w:r>
        <w:t>Для выявления потребности Управляющих организаций в Субсидиях на очередной финансовый год в целях формирования бюджета городского округа Тольятти на очередной финансовый год</w:t>
      </w:r>
      <w:proofErr w:type="gramEnd"/>
      <w:r>
        <w:t xml:space="preserve"> и плановый период Департаментом в срок до 15 мая года, предшествующего очередному финансовому году, осуществляется сбор информации от Управляющих организаций о потребности в Субсидии. Информация предоставляется в письменном виде с указанием наименования Управляющей организации, ее местонахождения, адреса многоквартирного дома, мероприятий, проводимых в рамках реализации муниципальной программы, перечня и стоимости услуг и (или) работ, выполняемых в рамках реализации мероприятий муниципальной программы.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 xml:space="preserve">На основании собранной информации Департамент формирует Предварительные </w:t>
      </w:r>
      <w:hyperlink w:anchor="P287">
        <w:r>
          <w:rPr>
            <w:color w:val="0000FF"/>
          </w:rPr>
          <w:t>перечни</w:t>
        </w:r>
      </w:hyperlink>
      <w:r>
        <w:t xml:space="preserve"> получателей Субсидии по форме согласно Приложению N 2 к настоящему Порядку и в срок до 1 июня года, предшествующего очередному финансовому году, передает их в департамент финансов администрации городского округа Тольятти для включения в проект бюджета на следующий финансовый год и плановый период.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r>
        <w:t>2.3. Предварительные перечни получателей Субсидии формируются отдельно по каждому мероприятию муниципальных программ.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После вступления в силу решения о бюджете на соответствующий финансовый год и плановый период и доведения до Департамента лимитов бюджетных обязательств Департаментом размещается извещение в информационно-телекоммуникационной сети Интернет на официальном портале администрации городского округа Тольятти: tgl.ru и организуется сбор заявок на предоставление Субсидии в целях возмещения затрат по капитальному ремонту многоквартирных домов городского округа Тольятти (далее - Заявка).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r>
        <w:t>Извещение содержит следующую информацию: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наименование и адрес организатора отбора;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сроки и место приема документов для участия в отборе;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перечень мероприятий муниципальной программы, в </w:t>
      </w:r>
      <w:proofErr w:type="gramStart"/>
      <w:r>
        <w:t>рамках</w:t>
      </w:r>
      <w:proofErr w:type="gramEnd"/>
      <w:r>
        <w:t xml:space="preserve"> реализации которых предоставляется Субсидия;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нормативный правовой акт, содержащий условия и порядок участия в отборе, требования к содержанию документов для участия в отборе, критерии отбора, условия и порядок предоставления Субсидии.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8" w:name="P95"/>
      <w:bookmarkEnd w:id="8"/>
      <w:r>
        <w:t>2.5. Требования, которым должны соответствовать Управляющие организации на первое число месяца, в котором подается Заявка: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отсутствие просроченной задолженности по возврату в бюджет городского округа Тольятти,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Тольятти;</w:t>
      </w:r>
    </w:p>
    <w:p w:rsidR="00F4317C" w:rsidRDefault="00F4317C">
      <w:pPr>
        <w:pStyle w:val="ConsPlusNormal"/>
        <w:spacing w:before="220"/>
        <w:ind w:firstLine="540"/>
        <w:jc w:val="both"/>
      </w:pPr>
      <w:proofErr w:type="gramStart"/>
      <w: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не должны получать средства из бюджета городского округа Тольятти,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hyperlink w:anchor="P64">
        <w:r>
          <w:rPr>
            <w:color w:val="0000FF"/>
          </w:rPr>
          <w:t>п. 1.2</w:t>
        </w:r>
      </w:hyperlink>
      <w:r>
        <w:t xml:space="preserve"> </w:t>
      </w:r>
      <w:r>
        <w:lastRenderedPageBreak/>
        <w:t>настоящего Порядка.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В </w:t>
      </w:r>
      <w:hyperlink w:anchor="P362">
        <w:r>
          <w:rPr>
            <w:color w:val="0000FF"/>
          </w:rPr>
          <w:t>Заявке</w:t>
        </w:r>
      </w:hyperlink>
      <w:r>
        <w:t>, оформленной по форме согласно Приложению N 3 к настоящему Порядку, Управляющая организация подтверждает соответствие требованиям, указанным в настоящем пункте.</w:t>
      </w:r>
    </w:p>
    <w:p w:rsidR="00F4317C" w:rsidRDefault="00F4317C">
      <w:pPr>
        <w:pStyle w:val="ConsPlusNormal"/>
        <w:jc w:val="both"/>
      </w:pPr>
      <w:r>
        <w:t xml:space="preserve">(п. 2.5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2.6. Для участия в отборе на предоставление Субсидий Управляющие организации подают в Комиссию </w:t>
      </w:r>
      <w:hyperlink w:anchor="P362">
        <w:r>
          <w:rPr>
            <w:color w:val="0000FF"/>
          </w:rPr>
          <w:t>Заявку</w:t>
        </w:r>
      </w:hyperlink>
      <w:r>
        <w:t xml:space="preserve"> по форме согласно Приложению N 3 к настоящему Порядку.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Заявка составляется отдельно по каждому мероприятию муниципальных программ, может включать один или несколько адресов многоквартирных домов.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2.7. К Заявке прилагаются следующие документы: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- копия лицензии Управляющей организации на осуществление деятельности по управлению многоквартирными домами, за исключением случаев, предусмотренных </w:t>
      </w:r>
      <w:hyperlink r:id="rId47">
        <w:r>
          <w:rPr>
            <w:color w:val="0000FF"/>
          </w:rPr>
          <w:t>п. 1.3 ст. 161</w:t>
        </w:r>
      </w:hyperlink>
      <w:r>
        <w:t xml:space="preserve"> Жилищного кодекса Российской Федерации;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заключения, предписания, распоряжения надзорных органов либо акты или заключения комиссии, фотоматериалы, содержащие дату и место съемки с привязкой к адресу многоквартирного дома, подтверждающие неудовлетворительное техническое состояние и необходимость выполнения капитального ремонта многоквартирного дома либо его элементов (систем);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2" w:name="P107"/>
      <w:bookmarkEnd w:id="12"/>
      <w:proofErr w:type="gramStart"/>
      <w:r>
        <w:t>- копии ведомостей объемов работ (дефектные ведомости) и расчетов сметной стоимости капитального ремонта многоквартирного дома, утвержденные руководителем Управляющей организации, с приложением копии положительного заключения проверки достоверности (экспертизы) определения сметной стоимости капитального ремонта, а в случае необходимости, установленной законодательством, копия проектной документации, утвержденная руководителем Управляющей организации, с копией положительного заключения экспертизы проектной документации.</w:t>
      </w:r>
      <w:proofErr w:type="gramEnd"/>
      <w:r>
        <w:t xml:space="preserve"> Положительное заключение проверки достоверности (экспертизы) определения сметной стоимости капитального ремонта, а также положительное заключение государственной экспертизы проектной документации должно соответствовать нормам действующего законодательства на дату не ранее чем за 3 года до даты подачи заявки;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29.06.2020 N 1943-п/1)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 xml:space="preserve">- копия протокола общего собрания собственников помещений в многоквартирном доме с решением о проведении капитального ремонта общего имущества многоквартирного дома с указанием вида работ, сметной стоимости, доли и размера средств </w:t>
      </w:r>
      <w:proofErr w:type="spellStart"/>
      <w:r>
        <w:t>софинансирования</w:t>
      </w:r>
      <w:proofErr w:type="spellEnd"/>
      <w:r>
        <w:t>;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>- копия протокола общего собрания собственников помещений в многоквартирном доме о выборе способа управления многоквартирным домом или протокол конкурсной комиссии (в случае выбора способа управления органом местного самоуправления по результатам открытого конкурса) или копия договора управления многоквартирным домом;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5" w:name="P111"/>
      <w:bookmarkEnd w:id="15"/>
      <w:r>
        <w:t>- выписка из Единого государственного реестра юридических лиц или из Единого государственного реестра индивидуальных предпринимателей, выданная не ранее первого числа месяца, в котором подается Заявка (по желанию Управляющей организации);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>- копии документов, подтверждающих полномочия руководителя либо иного лица действовать от имени Управляющей организации.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t xml:space="preserve">2.8. Заявка с прилагаемыми документами представляется в Комиссию с описью </w:t>
      </w:r>
      <w:r>
        <w:lastRenderedPageBreak/>
        <w:t>представленных документов с указанием количества листов каждого документа. Документация оформляется в печатном виде на стандартных листах формата А</w:t>
      </w:r>
      <w:proofErr w:type="gramStart"/>
      <w:r>
        <w:t>4</w:t>
      </w:r>
      <w:proofErr w:type="gramEnd"/>
      <w:r>
        <w:t xml:space="preserve">, нумеруется, прошивается, скрепляется записью "Прошито и пронумеровано ___ листов" с указанием даты, фамилии, инициалов, должности руководителя юридического лица (индивидуального предпринимателя), заверяется подписью руководителя юридического лица (индивидуального предпринимателя) и печатью юридического лица, индивидуального предпринимателя (при наличии печати). </w:t>
      </w:r>
      <w:proofErr w:type="gramStart"/>
      <w:r>
        <w:t>Все копии предоставляемых документов (каждая страница) должны содержать запись "Копия верна", дату, фамилию, инициалы, должность руководителя юридического лица (индивидуального предпринимателя) и быть заверены подписью руководителя юридического лица (индивидуального предпринимателя) и печатью юридического лица, индивидуального предпринимателя (при наличии печати).</w:t>
      </w:r>
      <w:proofErr w:type="gramEnd"/>
      <w:r>
        <w:t xml:space="preserve"> Документы, поступившие в Комиссию, проверяются на наличие выписки из Единого государственного реестра юридических лиц или из Единого государственного реестра индивидуальных предпринимателей. В случае если Управляющая организация не представила такую выписку, Комиссия распечатывает ее самостоятельно с официального сайта Федеральной налоговой службы Российской Федерации с помощью сервиса "Предоставление сведений из ЕГРЮЛ/ЕГРИП о конкретном юридическом лице/индивидуальном предпринимателе в формате электронного документа".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2.9. Заявка и прилагаемые к ней документы регистрируются в </w:t>
      </w:r>
      <w:hyperlink w:anchor="P462">
        <w:r>
          <w:rPr>
            <w:color w:val="0000FF"/>
          </w:rPr>
          <w:t>журнале</w:t>
        </w:r>
      </w:hyperlink>
      <w:r>
        <w:t xml:space="preserve"> регистрации заявок на предоставление Субсидий (Приложение N 4 к настоящему Порядку), в котором указываются время и дата подачи Заявки. Заявке присваивается регистрационный номер. Журнал оформляется в печатном виде, нумеруется, прошивается, скрепляется записью "Прошито и пронумеровано ___ листов".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2.10. Комиссия в течение 30 дней со дня поступления Заявки (уточненной Заявки) и приложенных к ней документов рассматривает их на предмет наличия (отсутствия) оснований для включения Управляющей организации в </w:t>
      </w:r>
      <w:hyperlink w:anchor="P633">
        <w:r>
          <w:rPr>
            <w:color w:val="0000FF"/>
          </w:rPr>
          <w:t>Перечень</w:t>
        </w:r>
      </w:hyperlink>
      <w:r>
        <w:t xml:space="preserve"> получателей Субсидии (Приложение N 5 к настоящему Порядку) и осуществляет расчет размера Субсидии. Перечень получателей Субсидии составляется по каждому мероприятию муниципальных программ отдельно. Решение Комиссии оформляется протоколом. Представленные документы в Управляющую организацию возвращаются только </w:t>
      </w:r>
      <w:proofErr w:type="gramStart"/>
      <w:r>
        <w:t>при поступлении от Управляющей организации заявления об отзыве Заявки до принятия решения по данной Заявке</w:t>
      </w:r>
      <w:proofErr w:type="gramEnd"/>
      <w:r>
        <w:t xml:space="preserve"> Комиссией.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8" w:name="P116"/>
      <w:bookmarkEnd w:id="18"/>
      <w:r>
        <w:t>2.11. Основанием для отказа во включении Управляющей организации в Перечень получателей Субсидии является: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несоответствие Управляющей организации требованиям и критериям, указанным в </w:t>
      </w:r>
      <w:hyperlink w:anchor="P73">
        <w:r>
          <w:rPr>
            <w:color w:val="0000FF"/>
          </w:rPr>
          <w:t>п. 1.5</w:t>
        </w:r>
      </w:hyperlink>
      <w:r>
        <w:t xml:space="preserve">, </w:t>
      </w:r>
      <w:hyperlink w:anchor="P74">
        <w:r>
          <w:rPr>
            <w:color w:val="0000FF"/>
          </w:rPr>
          <w:t>1.6</w:t>
        </w:r>
      </w:hyperlink>
      <w:r>
        <w:t xml:space="preserve">, </w:t>
      </w:r>
      <w:hyperlink w:anchor="P95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Управляющей организацией документов требованиям, указанным в </w:t>
      </w:r>
      <w:hyperlink w:anchor="P102">
        <w:r>
          <w:rPr>
            <w:color w:val="0000FF"/>
          </w:rPr>
          <w:t>пунктах 2.6</w:t>
        </w:r>
      </w:hyperlink>
      <w:r>
        <w:t xml:space="preserve">, </w:t>
      </w:r>
      <w:hyperlink w:anchor="P104">
        <w:r>
          <w:rPr>
            <w:color w:val="0000FF"/>
          </w:rPr>
          <w:t>2.7</w:t>
        </w:r>
      </w:hyperlink>
      <w:r>
        <w:t xml:space="preserve">, </w:t>
      </w:r>
      <w:hyperlink w:anchor="P113">
        <w:r>
          <w:rPr>
            <w:color w:val="0000FF"/>
          </w:rPr>
          <w:t>2.8</w:t>
        </w:r>
      </w:hyperlink>
      <w:r>
        <w:t xml:space="preserve"> настоящего Порядка, а также предоставление не в полном объеме указанных документов;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выявление в документах, представленных Управляющей организацией, недостоверной информации. Недостоверная информация - информация, не соответствующая действительности, а именно: предоставление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документов; документы заверены (подписаны) неуполномоченным лицом;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несоответствие заявленных затрат цели предоставления Субсидии, указанной в </w:t>
      </w:r>
      <w:hyperlink w:anchor="P64">
        <w:r>
          <w:rPr>
            <w:color w:val="0000FF"/>
          </w:rPr>
          <w:t>п. 1.2</w:t>
        </w:r>
      </w:hyperlink>
      <w:r>
        <w:t xml:space="preserve"> настоящего Порядка;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отсутствие бюджетных ассигнований и доведенных лимитов бюджетных обязательств, предусмотренных Департаменту на текущий год на реализацию мероприятия муниципальной </w:t>
      </w:r>
      <w:r>
        <w:lastRenderedPageBreak/>
        <w:t>программы, в отношении которого подана Заявка;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отказ Управляющей организации от получения субсидии.</w:t>
      </w:r>
    </w:p>
    <w:p w:rsidR="00F4317C" w:rsidRDefault="00F4317C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2.12. По результатам рассмотрения Заявок Комиссия формирует Перечень получателей Субсидии в пределах бюджетных ассигнований и доведенных лимитов бюджетных обязательств, предусмотренных Департаменту на текущий год на реализацию мероприятий муниципальных программ, который утверждается первым заместителем главы городского округа Тольятти.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2.13. Информация о принятом решении доводится до Управляющей организации путем направления в ее адрес уведомления, подписанного руководителем Департамента, не позднее 10 рабочих дней со дня заседания Комиссии. Уведомление об отказе во включении в Перечень получателей Субсидии должно содержать основание принятия такого решения, предусмотренное </w:t>
      </w:r>
      <w:hyperlink w:anchor="P116">
        <w:r>
          <w:rPr>
            <w:color w:val="0000FF"/>
          </w:rPr>
          <w:t>п. 2.11</w:t>
        </w:r>
      </w:hyperlink>
      <w:r>
        <w:t xml:space="preserve"> настоящего Порядка.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2.14. Утвержденные Перечни получателей Субсидии могут быть скорректированы в течение финансового года на основании поданной Управляющей организацией уточненной Заявки.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2.14.1. При корректировке объема и (или) стоимости работ к уточненной Заявке прилагаются документы, указанные в </w:t>
      </w:r>
      <w:hyperlink w:anchor="P107">
        <w:r>
          <w:rPr>
            <w:color w:val="0000FF"/>
          </w:rPr>
          <w:t>абзацах 4</w:t>
        </w:r>
      </w:hyperlink>
      <w:r>
        <w:t xml:space="preserve">, </w:t>
      </w:r>
      <w:hyperlink w:anchor="P109">
        <w:r>
          <w:rPr>
            <w:color w:val="0000FF"/>
          </w:rPr>
          <w:t>5 пункта 2.7</w:t>
        </w:r>
      </w:hyperlink>
      <w:r>
        <w:t xml:space="preserve"> настоящего Порядка, которые подтверждают вносимые изменения, а также информационное письмо Управляющей организации с изложением причин корректировки.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2.14.2. Допускается смена получателя субсидии в случае принятия собственниками помещений в многоквартирном доме решения о выборе другой Управляющей организации. При этом к уточненной Заявке прилагаются документы, указанные в </w:t>
      </w:r>
      <w:hyperlink w:anchor="P105">
        <w:r>
          <w:rPr>
            <w:color w:val="0000FF"/>
          </w:rPr>
          <w:t>абзацах 2</w:t>
        </w:r>
      </w:hyperlink>
      <w:r>
        <w:t xml:space="preserve">, </w:t>
      </w:r>
      <w:hyperlink w:anchor="P110">
        <w:r>
          <w:rPr>
            <w:color w:val="0000FF"/>
          </w:rPr>
          <w:t>6</w:t>
        </w:r>
      </w:hyperlink>
      <w:r>
        <w:t xml:space="preserve">, </w:t>
      </w:r>
      <w:hyperlink w:anchor="P111">
        <w:r>
          <w:rPr>
            <w:color w:val="0000FF"/>
          </w:rPr>
          <w:t>7</w:t>
        </w:r>
      </w:hyperlink>
      <w:r>
        <w:t xml:space="preserve">, </w:t>
      </w:r>
      <w:hyperlink w:anchor="P112">
        <w:r>
          <w:rPr>
            <w:color w:val="0000FF"/>
          </w:rPr>
          <w:t>8 пункта 2.7</w:t>
        </w:r>
      </w:hyperlink>
      <w:r>
        <w:t xml:space="preserve"> настоящего Порядка, а также информационное письмо Управляющей организации с изложением причин корректировки.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2.15. Утвержденный Перечень получателей Субсидии является основанием для заключения договора (соглашения) о предоставлении субсидии (гранта в форме субсидии) из бюджета городского округа Тольятти (далее - Соглашение). Соглашение заключается в соответствии с типовой формой, установленной постановлением администрации городского округа Тольятти.</w:t>
      </w:r>
    </w:p>
    <w:p w:rsidR="00F4317C" w:rsidRDefault="00F4317C">
      <w:pPr>
        <w:pStyle w:val="ConsPlusNormal"/>
        <w:jc w:val="both"/>
      </w:pPr>
      <w:r>
        <w:t xml:space="preserve">(п. 2.15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19" w:name="P131"/>
      <w:bookmarkEnd w:id="19"/>
      <w:r>
        <w:t xml:space="preserve">2.16. Расчет размера Субсидии осуществляется по каждому многоквартирному дому, указанному в Заявке, отдельно, в соответствии с </w:t>
      </w:r>
      <w:hyperlink w:anchor="P707">
        <w:r>
          <w:rPr>
            <w:color w:val="0000FF"/>
          </w:rPr>
          <w:t>Методикой</w:t>
        </w:r>
      </w:hyperlink>
      <w:r>
        <w:t xml:space="preserve"> расчета размера субсидии (Приложение N 6 к настоящему Порядку), с указанием информации, обосновывающей ее размер, а также (при необходимости) источника получения данной информации. Расчет размера Субсидии оформляется отдельным документом, который является неотъемлемой частью Соглашения. В случае если в Заявке указано несколько многоквартирных домов, то общий размер Субсидии по поданной Заявке определяется суммированием размеров Субсидии по каждому многоквартирному дому, указанному в Заявке.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2.17. В течение 10 рабочих дней после утверждения Перечня получателей Субсидии Департамент направляет Управляющей организации проект Соглашения.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2.18. Управляющая организация в течение 10 рабочих дней подписывает Соглашение и возвращает его в Департамент. Обязательным условием предоставление Субсидии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- поставщики), на осуществление Департаментом и органами государственного (муниципального) финансового контроля проверок соблюдения получателями Субсидий и </w:t>
      </w:r>
      <w:r>
        <w:lastRenderedPageBreak/>
        <w:t>поставщиками условий, целей и порядка их предоставления. Получатель Субсидии подтверждает свое согласие путем подписания Соглашения. Лица, являющиеся поставщиками, подтверждают свое согласие путем подписания договоров (соглашений), заключаемых в целях исполнения обязательств по Соглашению.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2.19. На основании заключенного Соглашения Управляющая организация обязуется: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2.19.1. Обеспечивать выполнение работ по капитальному ремонту многоквартирного дома в срок, указанный в Соглашении. При этом срок выполнения работ должен быть не позднее 20 декабря текущего года.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2.19.2. В течение трех дней с момента окончания выполнения работ направлять в Департамент отчет о произведенных затратах по капитальному ремонту многоквартирных домов (далее - отчет о произведенных затратах) с приложением подтверждающих документов, указанных в </w:t>
      </w:r>
      <w:hyperlink w:anchor="P138">
        <w:r>
          <w:rPr>
            <w:color w:val="0000FF"/>
          </w:rPr>
          <w:t>п. 2.20</w:t>
        </w:r>
      </w:hyperlink>
      <w:r>
        <w:t xml:space="preserve"> настоящего Порядка, и отчет о достижении показателей результативности. Форма </w:t>
      </w:r>
      <w:hyperlink w:anchor="P737">
        <w:r>
          <w:rPr>
            <w:color w:val="0000FF"/>
          </w:rPr>
          <w:t>отчета</w:t>
        </w:r>
      </w:hyperlink>
      <w:r>
        <w:t xml:space="preserve"> о произведенных затратах (Приложение N 7 к настоящему Порядку) и форма </w:t>
      </w:r>
      <w:hyperlink w:anchor="P800">
        <w:r>
          <w:rPr>
            <w:color w:val="0000FF"/>
          </w:rPr>
          <w:t>отчета</w:t>
        </w:r>
      </w:hyperlink>
      <w:r>
        <w:t xml:space="preserve"> о достижении показателей результативности (Приложение N 8 к настоящему Порядку) являются обязательными приложениями к Соглашению.</w:t>
      </w:r>
    </w:p>
    <w:p w:rsidR="00F4317C" w:rsidRDefault="00F4317C">
      <w:pPr>
        <w:pStyle w:val="ConsPlusNormal"/>
        <w:jc w:val="both"/>
      </w:pPr>
      <w:r>
        <w:t xml:space="preserve">(в ред. Постановлений Администрации городского округа Тольятти Самарской области от 19.10.2018 </w:t>
      </w:r>
      <w:hyperlink r:id="rId51">
        <w:r>
          <w:rPr>
            <w:color w:val="0000FF"/>
          </w:rPr>
          <w:t>N 3124-п/1</w:t>
        </w:r>
      </w:hyperlink>
      <w:r>
        <w:t xml:space="preserve">, от 15.03.2019 </w:t>
      </w:r>
      <w:hyperlink r:id="rId52">
        <w:r>
          <w:rPr>
            <w:color w:val="0000FF"/>
          </w:rPr>
          <w:t>N 708-п/1</w:t>
        </w:r>
      </w:hyperlink>
      <w:r>
        <w:t>)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20" w:name="P138"/>
      <w:bookmarkEnd w:id="20"/>
      <w:r>
        <w:t>2.20. Документами, подтверждающими выполнение услуг и (или) работ, являются: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2.20.1. Акты выполненных работ </w:t>
      </w:r>
      <w:hyperlink r:id="rId53">
        <w:r>
          <w:rPr>
            <w:color w:val="0000FF"/>
          </w:rPr>
          <w:t>(форма КС-2)</w:t>
        </w:r>
      </w:hyperlink>
      <w:r>
        <w:t>, подписанные Управляющей организацией и подрядной организацией;</w:t>
      </w:r>
    </w:p>
    <w:p w:rsidR="00F4317C" w:rsidRDefault="00F4317C">
      <w:pPr>
        <w:pStyle w:val="ConsPlusNormal"/>
        <w:jc w:val="both"/>
      </w:pPr>
      <w:r>
        <w:t xml:space="preserve">(п. 2.20.1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15.03.2019 N 708-п/1)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2.20.2. Справка о стоимости выполненных работ и затрат (форма КС-3);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2.20.3. Копии положительного </w:t>
      </w:r>
      <w:proofErr w:type="gramStart"/>
      <w:r>
        <w:t>заключения проверки достоверности определения сметной стоимости капитального ремонта многоквартирного</w:t>
      </w:r>
      <w:proofErr w:type="gramEnd"/>
      <w:r>
        <w:t xml:space="preserve"> дома, договора и акта приемки оказанных услуг по проверке достоверности определения сметной стоимости капитального ремонта общего имущества многоквартирного дома;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2.20.4. Сертификаты соответствия на приобретенное оборудование;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2.20.5. Документ, подтверждающий членство организации, выполнившей работы по капитальному ремонту, в саморегулируемой организации в области строительства, реконструкции, капитального ремонта объектов капитального строительства, если иное не установлено законодательством;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2.20.6. Догово</w:t>
      </w:r>
      <w:proofErr w:type="gramStart"/>
      <w:r>
        <w:t>р(</w:t>
      </w:r>
      <w:proofErr w:type="gramEnd"/>
      <w:r>
        <w:t>-ы) подряда на выполнение работ по капитальному ремонту многоквартирных домов. Вид и сметная стоимость подрядных работ должны соответствовать протоколу общего собрания собственников помещений в многоквартирном доме, которым принято решение о проведении капитального ремонта общего имущества многоквартирного дома. Обязательными условиями договора подряда являются: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гарантийный срок эксплуатации объекта капитального ремонта;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обязательства подрядчика об использовании материалов и устанавливаемого оборудования новыми (не бывшими в употреблении, ремонте, в том числе не были восстановлены, не была осуществлена замена составных частей, не были восстановлены потребительские свойства);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lastRenderedPageBreak/>
        <w:t>- график производства работ;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2.20.7.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15.12.2021 N 3783-п/1;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2.20.8. Иные документы, предусмотренные Соглашением.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19.10.2018 N 3124-п/1)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Все документы представляются в копиях и должны соответствовать требованиям </w:t>
      </w:r>
      <w:hyperlink w:anchor="P113">
        <w:r>
          <w:rPr>
            <w:color w:val="0000FF"/>
          </w:rPr>
          <w:t>п. 2.8</w:t>
        </w:r>
      </w:hyperlink>
      <w:r>
        <w:t xml:space="preserve"> настоящего Порядка.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2.21. В случае уменьшения фактической стоимости работ в отличие от стоимости работ, указанной в Соглашении, в отчете о произведенных затратах указывается фактическая стоимость выполненных работ, а размер </w:t>
      </w:r>
      <w:proofErr w:type="spellStart"/>
      <w:r>
        <w:t>софинансирования</w:t>
      </w:r>
      <w:proofErr w:type="spellEnd"/>
      <w:r>
        <w:t xml:space="preserve"> (при его наличии) устанавливается в соответствии с долей </w:t>
      </w:r>
      <w:proofErr w:type="spellStart"/>
      <w:r>
        <w:t>софинансирования</w:t>
      </w:r>
      <w:proofErr w:type="spellEnd"/>
      <w:r>
        <w:t>, утвержденной протоколом общего собрания собственников, приложенным к Заявке.</w:t>
      </w:r>
    </w:p>
    <w:p w:rsidR="00F4317C" w:rsidRDefault="00F4317C">
      <w:pPr>
        <w:pStyle w:val="ConsPlusNormal"/>
        <w:spacing w:before="220"/>
        <w:ind w:firstLine="540"/>
        <w:jc w:val="both"/>
      </w:pPr>
      <w:proofErr w:type="gramStart"/>
      <w:r>
        <w:t>Если стоимость фактически выполненных работ увеличилась по сравнению с указанной в Соглашении, то субсидия подлежит перечислению в размере, установленном в Соглашении, и корректировке не подлежит.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bookmarkStart w:id="21" w:name="P156"/>
      <w:bookmarkEnd w:id="21"/>
      <w:r>
        <w:t>2.22. Департамент в течение 5 рабочих дней проверяет соответствие сведений, указанных в отчете о произведенных затратах, фактическим затратам по капитальному ремонту многоквартирного дома.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22" w:name="P157"/>
      <w:bookmarkEnd w:id="22"/>
      <w:r>
        <w:t>2.23. Основанием для отказа в принятии отчета о произведенных затратах является: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2.23.1. Несоответствие фактически выполненных работ работам, указанным в отчете о произведенных затратах и подтверждающих документах, выявленное при осуществлении проверки выполнения работ.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2.23.2. Несоответствие заявленных в отчете объемов работ фактически выполненным объемам работ, выявленное при осуществлении проверки выполнения работ.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2.23.3. Выявление недостоверных сведений в документах, указанных в </w:t>
      </w:r>
      <w:hyperlink w:anchor="P138">
        <w:r>
          <w:rPr>
            <w:color w:val="0000FF"/>
          </w:rPr>
          <w:t>пункте 2.20</w:t>
        </w:r>
      </w:hyperlink>
      <w:r>
        <w:t xml:space="preserve"> настоящего Порядка.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2.23.4. Несоответствие представленных Управляющей организацией документов требованиям, определенным </w:t>
      </w:r>
      <w:hyperlink w:anchor="P138">
        <w:r>
          <w:rPr>
            <w:color w:val="0000FF"/>
          </w:rPr>
          <w:t>пунктом 2.20</w:t>
        </w:r>
      </w:hyperlink>
      <w:r>
        <w:t xml:space="preserve"> настоящего Порядка, или непредставление (представление не в полном объеме) указанных документов.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2.23.5. Непредставление отчета о достижении показателей результативности в сроки, установленные настоящим Порядком.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2.24. В случае принятия отчета о произведенных затратах Департамент перечисляет Субсидию на расчетный счет получателя Субсидии, указанный в Соглашении.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29.06.2020 N 1943-п/1)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2.25. В случае отказа в принятии отчета о произведенных затратах Департамент уведомляет получателя Субсидий об отказе в принятии отчета о произведенных затратах с указанием оснований, указанных в </w:t>
      </w:r>
      <w:hyperlink w:anchor="P157">
        <w:r>
          <w:rPr>
            <w:color w:val="0000FF"/>
          </w:rPr>
          <w:t>п. 2.23</w:t>
        </w:r>
      </w:hyperlink>
      <w:r>
        <w:t xml:space="preserve"> настоящего Порядка, в течение 10 рабочих дней со дня поступления отчета в Департамент.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2.26. Управляющая организация в течение 5 рабочих дней со дня получения уведомления </w:t>
      </w:r>
      <w:r>
        <w:lastRenderedPageBreak/>
        <w:t>устраняет причины отказа в принятии отчета о произведенных затратах и повторно направляет его в Департамент.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2.27. Департамент повторно производит проверку представленного отчета о произведенных затратах в течение 5 дней со дня его получения.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2.28. В случае устранения причин, указанных в уведомлении об отказе в принятии отчета о произведенных затратах, Департамент принимает отчет и перечисляет Субсидию на расчетный счет получателя Субсидии, указанный в Соглашении.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29.06.2020 N 1943-п/1)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2.29. Непредставление Управляющей организацией отчета о произведенных затратах и документов, указанных в </w:t>
      </w:r>
      <w:hyperlink w:anchor="P138">
        <w:r>
          <w:rPr>
            <w:color w:val="0000FF"/>
          </w:rPr>
          <w:t>пункте 2.20</w:t>
        </w:r>
      </w:hyperlink>
      <w:r>
        <w:t xml:space="preserve"> настоящего Порядка, в установленный срок либо отказ устранить причины, указанные в уведомлении об отказе в принятии отчета о произведенных затратах, расценивается как отказ Управляющей организации от исполнения Соглашения. При этом Департамент отказывается от встречного исполнения обязательств по Соглашению.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2.30. К показателям результативности, которые должна достигнуть Управляющая организация, относятся: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24" w:name="P172"/>
      <w:bookmarkEnd w:id="24"/>
      <w:r>
        <w:t>- выполнение работ по капитальному ремонту многоквартирных домов в срок, установленный Соглашением;</w:t>
      </w:r>
    </w:p>
    <w:p w:rsidR="00F4317C" w:rsidRDefault="00F4317C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- доля объема выполненных работ в общем объеме работ, указанных в Соглашении, - не менее 90%.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2.31. Субсидия перечисляется на расчетный счет, открытый Управляющей организацией в учреждениях Центрального банка Российской Федерации или кредитных организациях, указанный в Соглашении.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2.32. </w:t>
      </w:r>
      <w:proofErr w:type="gramStart"/>
      <w:r>
        <w:t>Субсидия, поступившая на расчетный счет Управляющей организации, расходуется на компенсацию затрат, связанных с оказанием услуг и (или) выполнением работ по капитальному ремонту многоквартирного дома, путем перечисления на расчетные счета подрядных организаций денежных средств в размере сумм, указанных в заключенных с ними договорах подряда на выполнение работ с целью реализации мероприятий Программы, в течение 10 рабочих дней со дня поступления Субсидии</w:t>
      </w:r>
      <w:proofErr w:type="gramEnd"/>
      <w:r>
        <w:t xml:space="preserve"> на расчетный счет Управляющей организации с предоставлением в Департамент подтверждающих документов (заверенная копия платежного поручения с отметкой об исполнении) в течение 3 рабочих дней с момента совершения операции.</w:t>
      </w:r>
    </w:p>
    <w:p w:rsidR="00F4317C" w:rsidRDefault="00F4317C">
      <w:pPr>
        <w:pStyle w:val="ConsPlusNormal"/>
        <w:jc w:val="both"/>
      </w:pPr>
      <w:r>
        <w:t xml:space="preserve">(п. 2.32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  <w:outlineLvl w:val="1"/>
      </w:pPr>
      <w:r>
        <w:t>III. Требования к отчетности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 xml:space="preserve">3.1. Управляющая организация представляет в Департамент отчет о произведенных затратах и отчет о достижении показателей результативности. Порядок, сроки и форма отчетности установлены </w:t>
      </w:r>
      <w:hyperlink w:anchor="P84">
        <w:r>
          <w:rPr>
            <w:color w:val="0000FF"/>
          </w:rPr>
          <w:t>разделом II</w:t>
        </w:r>
      </w:hyperlink>
      <w:r>
        <w:t xml:space="preserve"> настоящего Порядка.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3.2. Департамент ежеквартально в срок до 15 числа месяца, следующего за отчетным кварталом, представляет в департамент финансов администрации городского округа Тольятти </w:t>
      </w:r>
      <w:hyperlink w:anchor="P859">
        <w:r>
          <w:rPr>
            <w:color w:val="0000FF"/>
          </w:rPr>
          <w:t>отчет</w:t>
        </w:r>
      </w:hyperlink>
      <w:r>
        <w:t xml:space="preserve"> о целевом использовании субсидии на возмещение затрат по капитальному ремонту многоквартирных домов по установленной форме (Приложение N 9 к настоящему Порядку).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  <w:outlineLvl w:val="1"/>
      </w:pPr>
      <w:r>
        <w:t>IV. Особенности предоставления субсидий на выполнение</w:t>
      </w:r>
    </w:p>
    <w:p w:rsidR="00F4317C" w:rsidRDefault="00F4317C">
      <w:pPr>
        <w:pStyle w:val="ConsPlusTitle"/>
        <w:jc w:val="center"/>
      </w:pPr>
      <w:r>
        <w:t>отдельных видов работ в рамках реализации мероприятий,</w:t>
      </w:r>
    </w:p>
    <w:p w:rsidR="00F4317C" w:rsidRDefault="00F4317C">
      <w:pPr>
        <w:pStyle w:val="ConsPlusTitle"/>
        <w:jc w:val="center"/>
      </w:pPr>
      <w:proofErr w:type="gramStart"/>
      <w:r>
        <w:lastRenderedPageBreak/>
        <w:t>предусмотренных</w:t>
      </w:r>
      <w:proofErr w:type="gramEnd"/>
      <w:r>
        <w:t xml:space="preserve"> муниципальными программами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 xml:space="preserve">4.1. При проведении работ в целях реализации мероприятий для разработки проектной документации по ремонту внутридомовых инженерных систем газоснабжения Управляющая организация обеспечивает в соответствии с </w:t>
      </w:r>
      <w:hyperlink r:id="rId61">
        <w:r>
          <w:rPr>
            <w:color w:val="0000FF"/>
          </w:rPr>
          <w:t>МДС 42-1.2000</w:t>
        </w:r>
      </w:hyperlink>
      <w:r>
        <w:t xml:space="preserve"> "Положение о диагностировании технического состояния внутренних газопроводов жилых и общественных зданий", </w:t>
      </w:r>
      <w:hyperlink r:id="rId62">
        <w:r>
          <w:rPr>
            <w:color w:val="0000FF"/>
          </w:rPr>
          <w:t>СП 62.13330.2011</w:t>
        </w:r>
      </w:hyperlink>
      <w:r>
        <w:t xml:space="preserve"> "Свод правил. </w:t>
      </w:r>
      <w:proofErr w:type="gramStart"/>
      <w:r>
        <w:t xml:space="preserve">Газораспределительные системы.", утвержденными Приказом </w:t>
      </w:r>
      <w:proofErr w:type="spellStart"/>
      <w:r>
        <w:t>Минрегиона</w:t>
      </w:r>
      <w:proofErr w:type="spellEnd"/>
      <w:r>
        <w:t xml:space="preserve"> России от 27.12.2010 N 780, </w:t>
      </w:r>
      <w:hyperlink r:id="rId63">
        <w:r>
          <w:rPr>
            <w:color w:val="0000FF"/>
          </w:rPr>
          <w:t>Приказом</w:t>
        </w:r>
      </w:hyperlink>
      <w:r>
        <w:t xml:space="preserve"> Федеральной службы по экологическому, технологическому и атомному надзору от 15 декабря 2020 N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>
        <w:t>газопотребления</w:t>
      </w:r>
      <w:proofErr w:type="spellEnd"/>
      <w:r>
        <w:t>", и другими действующими нормативными документами выполнение работ по диагностике внутридомового газового оборудования в сроки, указанные в Соглашении.</w:t>
      </w:r>
      <w:proofErr w:type="gramEnd"/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15.12.2021 N 3783-п/1)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4.1.1. Кроме указанных в </w:t>
      </w:r>
      <w:hyperlink w:anchor="P156">
        <w:r>
          <w:rPr>
            <w:color w:val="0000FF"/>
          </w:rPr>
          <w:t>пункте 2.22</w:t>
        </w:r>
      </w:hyperlink>
      <w:r>
        <w:t xml:space="preserve"> настоящего Порядка документов к отчету о произведенных затратах прилагаются заверенные Управляющей организацией копии следующих документов: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4.1.1.1. Лицензии на право проведения экспертизы промышленной безопасности со всеми приложениями;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4.1.1.2. Рекомендаций по безопасной эксплуатации газопровода при назначении остаточного ресурса;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4.1.1.3. </w:t>
      </w:r>
      <w:proofErr w:type="gramStart"/>
      <w:r>
        <w:t xml:space="preserve">Оформленного и согласованного в соответствии с действующим законодательством "Заключения по техническому диагностированию и определению срока службы внутреннего газопровода многоквартирного жилого дома" (заключение оформляется на каждый жилой дом) с приложением на бумажном и электронном носителях </w:t>
      </w:r>
      <w:hyperlink w:anchor="P971">
        <w:r>
          <w:rPr>
            <w:color w:val="0000FF"/>
          </w:rPr>
          <w:t>сводной таблицы</w:t>
        </w:r>
      </w:hyperlink>
      <w:r>
        <w:t xml:space="preserve"> нарушений правил и норм технической эксплуатации внутридомового газового оборудования по результатам проведенных мероприятий для разработки проектной документации по ремонту внутридомовых инженерных систем газоснабжения на</w:t>
      </w:r>
      <w:proofErr w:type="gramEnd"/>
      <w:r>
        <w:t xml:space="preserve"> каждый многоквартирный дом (Приложение N 10 к Порядку). Заключение в обязательном порядке включает в себя:</w:t>
      </w:r>
    </w:p>
    <w:p w:rsidR="00F4317C" w:rsidRDefault="00F4317C">
      <w:pPr>
        <w:pStyle w:val="ConsPlusNormal"/>
        <w:spacing w:before="220"/>
        <w:ind w:firstLine="540"/>
        <w:jc w:val="both"/>
      </w:pPr>
      <w:proofErr w:type="gramStart"/>
      <w:r>
        <w:t>- акт о техническом состоянии и условиях эксплуатации внутреннего газопровода, составленный по результатам приборной диагностики, подписанный исполнителем, непосредственно производящим инструментальную диагностику;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r>
        <w:t>- заключение о возможности дальнейшей эксплуатации газопровода или обоснования необходимости его замены, подписанное ответственным специалистом, проводящим анализ и обработку полученных в процессе диагностирования результатов, утвержденное руководителем организации, проводившей мероприятия.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При проведении работ в целях реализации мероприятий по оборудованию подъездов многоквартирных домов (любой серии) пандусами для отдельных категорий граждан с ограниченными возможностями передвижения к заявке на предоставление Субсидии, кроме документов, указанных в пункте 2.7 настоящего Порядка, прикладывается копия протокола общего собрания собственников помещений (членов ТСЖ) в многоквартирном доме с решением о принятии пандусов в состав общего имущества многоквартирного дома.</w:t>
      </w:r>
      <w:proofErr w:type="gramEnd"/>
    </w:p>
    <w:p w:rsidR="00F4317C" w:rsidRDefault="00F4317C">
      <w:pPr>
        <w:pStyle w:val="ConsPlusNormal"/>
        <w:spacing w:before="220"/>
        <w:ind w:firstLine="540"/>
        <w:jc w:val="both"/>
      </w:pPr>
      <w:r>
        <w:t>4.2.1. На основании заключенного Соглашения Управляющая организация: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4.2.1.1. Обеспечивает выполнение работ в соответствии с СП 59.13330.2010 Актуализированная редакция СНиП 35-01-2001 "Доступность зданий и сооружений для </w:t>
      </w:r>
      <w:r>
        <w:lastRenderedPageBreak/>
        <w:t xml:space="preserve">маломобильных групп населения", </w:t>
      </w:r>
      <w:hyperlink r:id="rId65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51261-99</w:t>
        </w:r>
      </w:hyperlink>
      <w:r>
        <w:t xml:space="preserve"> "Устройства опорные стационарные реабилитационные" и другими действующими нормативными документами, касающимися данного вида работ, в сроки, указанные в Соглашении;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4.2.1.2. Обеспечивает выполнение работ по оборудованию подъездов многоквартирных домов пандусами в соответствии с рабочим проектом. Задание на проектирование согласовывается с территориальным органом социальной защиты в соответствии с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 ноября 2009 г. N 598 "Об утверждении Порядка согласования с территориальными органами социальной защиты населения заданий на проектирование строительства, реконструкции и капитального ремонта объектов социальной, транспортной и инженерной инфраструктур". Рабочий проект разрабатывается и утверждается в соответствии с действующим законодательством;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4.2.1.3. Вносит изменения в техническую документацию многоквартирного дома в части внесения сведений о выполненных работах и установленном оборудовании в течение 12 месяцев начиная </w:t>
      </w:r>
      <w:proofErr w:type="gramStart"/>
      <w:r>
        <w:t>с даты предоставления</w:t>
      </w:r>
      <w:proofErr w:type="gramEnd"/>
      <w:r>
        <w:t xml:space="preserve"> отчета о произведенных затратах.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4317C" w:rsidRDefault="00F4317C">
      <w:pPr>
        <w:pStyle w:val="ConsPlusTitle"/>
        <w:jc w:val="center"/>
      </w:pPr>
      <w:r>
        <w:t>условий, целей и порядка предоставления субсидий</w:t>
      </w:r>
    </w:p>
    <w:p w:rsidR="00F4317C" w:rsidRDefault="00F4317C">
      <w:pPr>
        <w:pStyle w:val="ConsPlusTitle"/>
        <w:jc w:val="center"/>
      </w:pPr>
      <w:r>
        <w:t>и ответственности за их нарушение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 xml:space="preserve">5.1. Департаментом и органами государственного (муниципального) финансового контроля осуществляется </w:t>
      </w:r>
      <w:proofErr w:type="gramStart"/>
      <w:r>
        <w:t>контроль за</w:t>
      </w:r>
      <w:proofErr w:type="gramEnd"/>
      <w:r>
        <w:t xml:space="preserve"> соблюдением Управляющими организациями и поставщиками условий, целей и порядка предоставления Субсидий путем проведения обязательных проверок данных лиц.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осуществляется Департаментом путем проведения проверки отчетов о произведенных затратах и отчетов о достижении показателей результативности, представленных Управляющей организацией, а также путем проведения проверок по месту проведения работ.</w:t>
      </w:r>
    </w:p>
    <w:p w:rsidR="00F4317C" w:rsidRDefault="00F431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19.10.2018 N 3124-п/1)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осуществляется органами муниципального финансового контроля в установленном порядке в соответствии с требованиями действующего законодательства.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5.4. В случае установления Департаментом или получения от органа муниципального финансового контроля, а также иных уполномоченных контролирующих органов, иных лиц информации о факт</w:t>
      </w:r>
      <w:proofErr w:type="gramStart"/>
      <w:r>
        <w:t>е(</w:t>
      </w:r>
      <w:proofErr w:type="gramEnd"/>
      <w:r>
        <w:t>ах) нарушения Управляющей организацией порядка, целей и условий предоставления Субсидии, предусмотренных настоящим Порядком, в том числе указания в представленных документах недостоверных сведений, Департамент в течение 10 дней со дня выявления данного(</w:t>
      </w:r>
      <w:proofErr w:type="spellStart"/>
      <w:r>
        <w:t>ых</w:t>
      </w:r>
      <w:proofErr w:type="spellEnd"/>
      <w:r>
        <w:t>) факта(</w:t>
      </w:r>
      <w:proofErr w:type="spellStart"/>
      <w:r>
        <w:t>ов</w:t>
      </w:r>
      <w:proofErr w:type="spellEnd"/>
      <w:r>
        <w:t xml:space="preserve">) направляет Управляющей организации письмо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Интернет), позволяющим подтвердить получение такого отправления адресатом, с указанием выявленных нарушений и сроков их устранения.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нарушений в срок, указанный в письме, Департамент в течение 10 рабочих дней с момента истечения срока, указанного для устранения нарушения, направляет Управляющей организации требование о возврате Субсидии в бюджет городского округа Тольятти (далее - Требование). Требование подготавливает Департамент в письменной форме с указанием Управляющей организации, платежных реквизитов, срока возврата и суммы Субсидии, подлежащей возврату.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5.5. Управляющая организация обязана возвратить в бюджет городского округа Тольятти </w:t>
      </w:r>
      <w:r>
        <w:lastRenderedPageBreak/>
        <w:t>сумму Субсидии, указанную в Требовании о возврате Субсидии, в течение 10 рабочих дней с момента получения такого Требования.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5.6. В случае устранения нарушений в сроки, указанные в письме, Субсидия возврату не подлежит.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5.7. В случае неисполнения Управляющей организацией Требования о возврате Субсидии Департамент производит ее взыскание в доход бюджета городского округа Тольятти в судебном порядке в соответствии с действующим законодательством.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5.8. </w:t>
      </w: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Управляющей организацией показателей результативности, указанных в </w:t>
      </w:r>
      <w:hyperlink w:anchor="P171">
        <w:r>
          <w:rPr>
            <w:color w:val="0000FF"/>
          </w:rPr>
          <w:t>п. 2.30</w:t>
        </w:r>
      </w:hyperlink>
      <w:r>
        <w:t xml:space="preserve"> настоящего Порядка, применяются штрафные санкции, рассчитываемые по форме, установленной в приложении к типовой форме Соглашения, с обязательным уведомлением Управляющей организации в течение 10 рабочих дней с момента выявления факта </w:t>
      </w:r>
      <w:proofErr w:type="spellStart"/>
      <w:r>
        <w:t>недостижения</w:t>
      </w:r>
      <w:proofErr w:type="spellEnd"/>
      <w:r>
        <w:t xml:space="preserve"> таких показателей, с указанием в данном уведомлении суммы штрафа, сроков его перечисления и счета, на который необходимо перечислить штраф</w:t>
      </w:r>
      <w:proofErr w:type="gramEnd"/>
      <w:r>
        <w:t>. При этом срок перечисления Управляющей организацией суммы штрафа не может составлять более 10 рабочих дней с момента получения ею такого уведомления. Форма расчета штрафных санкций является неотъемлемой частью Соглашения.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С целью расчета штрафных санкций применяются следующие значения корректирующих коэффициентов: корректирующий коэффициент 1 (К</w:t>
      </w:r>
      <w:proofErr w:type="gramStart"/>
      <w:r>
        <w:t>1</w:t>
      </w:r>
      <w:proofErr w:type="gramEnd"/>
      <w:r>
        <w:t>) = -1, корректирующий коэффициент 2 (К2) = 0,1. Значение коэффициента К</w:t>
      </w:r>
      <w:proofErr w:type="gramStart"/>
      <w:r>
        <w:t>1</w:t>
      </w:r>
      <w:proofErr w:type="gramEnd"/>
      <w:r>
        <w:t xml:space="preserve"> применяется для расчета штрафных санкций при </w:t>
      </w:r>
      <w:proofErr w:type="spellStart"/>
      <w:r>
        <w:t>недостижении</w:t>
      </w:r>
      <w:proofErr w:type="spellEnd"/>
      <w:r>
        <w:t xml:space="preserve"> показателя результативности, указанного в </w:t>
      </w:r>
      <w:hyperlink w:anchor="P172">
        <w:r>
          <w:rPr>
            <w:color w:val="0000FF"/>
          </w:rPr>
          <w:t>абзаце втором пункта 2.30</w:t>
        </w:r>
      </w:hyperlink>
      <w:r>
        <w:t xml:space="preserve"> настоящего Порядка, а значение коэффициента К2 - показателя результативности, указанного в </w:t>
      </w:r>
      <w:hyperlink w:anchor="P173">
        <w:r>
          <w:rPr>
            <w:color w:val="0000FF"/>
          </w:rPr>
          <w:t>абзаце третьем пункта 2.30</w:t>
        </w:r>
      </w:hyperlink>
      <w:r>
        <w:t xml:space="preserve"> настоящего Порядка.</w:t>
      </w:r>
    </w:p>
    <w:p w:rsidR="00F4317C" w:rsidRDefault="00F4317C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19.10.2018 N 3124-п/1)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1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</w:pPr>
      <w:bookmarkStart w:id="26" w:name="P230"/>
      <w:bookmarkEnd w:id="26"/>
      <w:r>
        <w:t>ПОЛОЖЕНИЕ</w:t>
      </w:r>
    </w:p>
    <w:p w:rsidR="00F4317C" w:rsidRDefault="00F4317C">
      <w:pPr>
        <w:pStyle w:val="ConsPlusTitle"/>
        <w:jc w:val="center"/>
      </w:pPr>
      <w:r>
        <w:t>О КОМИССИИ ПО РАССМОТРЕНИЮ ЗАЯВОК НА ПРЕДОСТАВЛЕНИЕ СУБСИДИЙ</w:t>
      </w:r>
    </w:p>
    <w:p w:rsidR="00F4317C" w:rsidRDefault="00F4317C">
      <w:pPr>
        <w:pStyle w:val="ConsPlusTitle"/>
        <w:jc w:val="center"/>
      </w:pPr>
      <w:r>
        <w:t>В ЦЕЛЯХ ВОЗМЕЩЕНИЯ ЗАТРАТ НА КАПИТАЛЬНЫЙ РЕМОНТ</w:t>
      </w:r>
    </w:p>
    <w:p w:rsidR="00F4317C" w:rsidRDefault="00F4317C">
      <w:pPr>
        <w:pStyle w:val="ConsPlusTitle"/>
        <w:jc w:val="center"/>
      </w:pPr>
      <w:r>
        <w:t>МНОГОКВАРТИРНЫХ ДОМОВ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области от 19.10.2018 N 3124-п/1)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>1. Комиссия по рассмотрению заявок на предоставление субсидий в целях возмещения затрат на капитальный ремонт многоквартирных домов (далее - Комиссия) является постоянно действующим совещательным органом при Департаменте городского хозяйства администрации городского округа Тольятти, который осуществляет: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lastRenderedPageBreak/>
        <w:t>- прием заявок на предоставление субсидии в целях возмещения затрат по капитальному ремонту многоквартирных домов городского округа (далее - Заявка) (уточненных Заявок) с прилагаемыми документами от Управляющих организаций;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возврат Заявки </w:t>
      </w:r>
      <w:proofErr w:type="gramStart"/>
      <w:r>
        <w:t>с представленными документами в случае поступления от Управляющей организации заявления об отзыве Заявки до принятия</w:t>
      </w:r>
      <w:proofErr w:type="gramEnd"/>
      <w:r>
        <w:t xml:space="preserve"> решения по данной Заявке Комиссией;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рассмотрение Заявок (уточненных Заявок) и прилагаемых документов на предмет наличия (отсутствия) оснований для включения Управляющей организации в перечень получателей субсидии в срок, указанный в Порядке;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расчет размера субсидии (его корректировку) в порядке, предусмотренном </w:t>
      </w:r>
      <w:hyperlink w:anchor="P131">
        <w:r>
          <w:rPr>
            <w:color w:val="0000FF"/>
          </w:rPr>
          <w:t>п. 2.16</w:t>
        </w:r>
      </w:hyperlink>
      <w:r>
        <w:t xml:space="preserve"> Порядка;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формирование перечня получателей субсидии.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2. В состав Комиссии входят председатель Комиссии, заместитель председателя Комиссии, секретарь Комиссии и члены Комиссии.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Персональный и количественный состав Комиссии формируется Департаментом городского хозяйства администрации городского округа Тольятти и утверждается приказом </w:t>
      </w:r>
      <w:proofErr w:type="gramStart"/>
      <w:r>
        <w:t>руководителя Департамента городского хозяйства администрации городского округа Тольятти</w:t>
      </w:r>
      <w:proofErr w:type="gramEnd"/>
      <w:r>
        <w:t>. Состав Комиссии не может быть менее 5 человек.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Комиссия прекращает свою деятельность на основании </w:t>
      </w:r>
      <w:proofErr w:type="gramStart"/>
      <w:r>
        <w:t>приказа руководителя Департамента городского хозяйства администрации городского округа Тольятти</w:t>
      </w:r>
      <w:proofErr w:type="gramEnd"/>
      <w:r>
        <w:t>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3. Председатель Комиссии: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организует прием заявок;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определяет место и время проведения заседания Комиссии;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ведет заседание Комиссии;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подписывает протокол Комиссии;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организует подготовку уведомлений в Управляющие организации, подавшие Заявки, о принятом Комиссией решении;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подписывает Перечни получателей субсидии.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При отсутствии председателя Комиссии его полномочия осуществляет заместитель председателя Комиссии.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4. Секретарь Комиссии: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ведет регистрацию поступивших от Управляющих организаций Заявок;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осуществляет возврат Заявки </w:t>
      </w:r>
      <w:proofErr w:type="gramStart"/>
      <w:r>
        <w:t>при поступлении от Управляющей организации заявления об отзыве Заявки до принятия решения по данной Заявке</w:t>
      </w:r>
      <w:proofErr w:type="gramEnd"/>
      <w:r>
        <w:t xml:space="preserve"> Комиссией;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составляет проект повестки очередного заседания;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информирует членов Комиссии о месте и времени проведения заседания Комиссии;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ведет протокол заседания Комиссии;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lastRenderedPageBreak/>
        <w:t>- осуществляет подготовку уведомлений в Управляющие организации о принятом решении и передает их на подпись руководителю департамента городского хозяйства.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5. Члены Комиссии: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проводят предварительную проверку, анализ Заявок и прилагаемых к ним документов;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- осуществляют расчет размера субсидии (его корректировку) в порядке, предусмотренном </w:t>
      </w:r>
      <w:hyperlink w:anchor="P131">
        <w:r>
          <w:rPr>
            <w:color w:val="0000FF"/>
          </w:rPr>
          <w:t>п. 2.16</w:t>
        </w:r>
      </w:hyperlink>
      <w:r>
        <w:t xml:space="preserve"> Порядка;</w:t>
      </w:r>
    </w:p>
    <w:p w:rsidR="00F4317C" w:rsidRDefault="00F4317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19.10.2018 N 3124-п/1)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принимают участие в заседаниях Комиссии;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- принимают участие в голосовании по вопросам повестки заседания.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6. Организационной формой деятельности Комиссии являются заседания. Заседания проводятся по мере необходимости. Заседание правомочно, если на нем присутствует не менее 2/3 от общего количества членов Комиссии.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7. Решение Комиссии принимается открытым голосованием простым большинством голосов присутствующих членов Комиссии. При равном количестве голосов право преимущественного голоса имеет председатель Комиссии.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8. Решение Комиссии оформляется протоколом. Оформленный протокол подписывается председателем Комиссии (заместителем председателя Комиссии) и членами Комиссии.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2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области от 15.12.2021 N 3783-п/1)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sectPr w:rsidR="00F4317C" w:rsidSect="00586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9128"/>
      </w:tblGrid>
      <w:tr w:rsidR="00F4317C">
        <w:tc>
          <w:tcPr>
            <w:tcW w:w="13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bookmarkStart w:id="27" w:name="P287"/>
            <w:bookmarkEnd w:id="27"/>
            <w:r>
              <w:lastRenderedPageBreak/>
              <w:t>ПРЕДВАРИТЕЛЬНЫЙ ПЕРЕЧЕНЬ ПОЛУЧАТЕЛЕЙ СУБСИДИИ</w:t>
            </w:r>
          </w:p>
          <w:p w:rsidR="00F4317C" w:rsidRDefault="00F4317C">
            <w:pPr>
              <w:pStyle w:val="ConsPlusNormal"/>
              <w:jc w:val="center"/>
            </w:pPr>
            <w:r>
              <w:t>в целях возмещения затрат на капитальный ремонт многоквартирных домов</w:t>
            </w:r>
          </w:p>
          <w:p w:rsidR="00F4317C" w:rsidRDefault="00F4317C">
            <w:pPr>
              <w:pStyle w:val="ConsPlusNormal"/>
              <w:jc w:val="center"/>
            </w:pPr>
            <w:r>
              <w:t>на реализацию _______________________________________________________</w:t>
            </w:r>
          </w:p>
        </w:tc>
      </w:tr>
      <w:tr w:rsidR="00F4317C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  <w:r>
              <w:t>(наименование мероприятия муниципальной программы)</w:t>
            </w:r>
          </w:p>
        </w:tc>
      </w:tr>
      <w:tr w:rsidR="00F4317C">
        <w:tc>
          <w:tcPr>
            <w:tcW w:w="13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 xml:space="preserve">в городском округе Тольятти на 20___ г., </w:t>
            </w:r>
            <w:proofErr w:type="gramStart"/>
            <w:r>
              <w:t>предусмотренных</w:t>
            </w:r>
            <w:proofErr w:type="gramEnd"/>
            <w:r>
              <w:t xml:space="preserve"> муниципальной программой</w:t>
            </w:r>
          </w:p>
        </w:tc>
      </w:tr>
      <w:tr w:rsidR="00F4317C">
        <w:tc>
          <w:tcPr>
            <w:tcW w:w="13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blPrEx>
          <w:tblBorders>
            <w:insideH w:val="single" w:sz="4" w:space="0" w:color="auto"/>
          </w:tblBorders>
        </w:tblPrEx>
        <w:tc>
          <w:tcPr>
            <w:tcW w:w="13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муниципальной программы)</w:t>
            </w:r>
          </w:p>
        </w:tc>
      </w:tr>
    </w:tbl>
    <w:p w:rsidR="00F4317C" w:rsidRDefault="00F43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25"/>
        <w:gridCol w:w="1910"/>
        <w:gridCol w:w="2494"/>
        <w:gridCol w:w="1361"/>
        <w:gridCol w:w="1276"/>
        <w:gridCol w:w="1275"/>
        <w:gridCol w:w="1418"/>
        <w:gridCol w:w="1701"/>
      </w:tblGrid>
      <w:tr w:rsidR="00F4317C">
        <w:tc>
          <w:tcPr>
            <w:tcW w:w="580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5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910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Управляющая организация</w:t>
            </w:r>
          </w:p>
        </w:tc>
        <w:tc>
          <w:tcPr>
            <w:tcW w:w="249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5330" w:type="dxa"/>
            <w:gridSpan w:val="4"/>
          </w:tcPr>
          <w:p w:rsidR="00F4317C" w:rsidRDefault="00F4317C">
            <w:pPr>
              <w:pStyle w:val="ConsPlusNormal"/>
              <w:jc w:val="center"/>
            </w:pPr>
            <w:r>
              <w:t>Общая стоимость работ, руб.</w:t>
            </w:r>
          </w:p>
        </w:tc>
        <w:tc>
          <w:tcPr>
            <w:tcW w:w="1701" w:type="dxa"/>
          </w:tcPr>
          <w:p w:rsidR="00F4317C" w:rsidRDefault="00F431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4317C">
        <w:tc>
          <w:tcPr>
            <w:tcW w:w="580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825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910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249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361" w:type="dxa"/>
          </w:tcPr>
          <w:p w:rsidR="00F4317C" w:rsidRDefault="00F431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275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бюджета городского округа Тольятти</w:t>
            </w:r>
          </w:p>
        </w:tc>
        <w:tc>
          <w:tcPr>
            <w:tcW w:w="1418" w:type="dxa"/>
          </w:tcPr>
          <w:p w:rsidR="00F4317C" w:rsidRDefault="00F4317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91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49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6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91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49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6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25" w:type="dxa"/>
          </w:tcPr>
          <w:p w:rsidR="00F4317C" w:rsidRDefault="00F4317C">
            <w:pPr>
              <w:pStyle w:val="ConsPlusNormal"/>
              <w:jc w:val="both"/>
            </w:pPr>
            <w:r>
              <w:t>Всего по городу:</w:t>
            </w:r>
          </w:p>
        </w:tc>
        <w:tc>
          <w:tcPr>
            <w:tcW w:w="191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49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6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25" w:type="dxa"/>
          </w:tcPr>
          <w:p w:rsidR="00F4317C" w:rsidRDefault="00F4317C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управляющим организациям:</w:t>
            </w:r>
          </w:p>
        </w:tc>
        <w:tc>
          <w:tcPr>
            <w:tcW w:w="191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49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6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sectPr w:rsidR="00F431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317C" w:rsidRDefault="00F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4"/>
        <w:gridCol w:w="3600"/>
      </w:tblGrid>
      <w:tr w:rsidR="00F4317C"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Руководитель департамента городского хозяйства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3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области от 15.12.2021 N 3783-п/1)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270"/>
        <w:gridCol w:w="2054"/>
        <w:gridCol w:w="1801"/>
        <w:gridCol w:w="4080"/>
      </w:tblGrid>
      <w:tr w:rsidR="00F4317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bookmarkStart w:id="28" w:name="P362"/>
            <w:bookmarkEnd w:id="28"/>
            <w:r>
              <w:t>ЗАЯВКА</w:t>
            </w:r>
          </w:p>
          <w:p w:rsidR="00F4317C" w:rsidRDefault="00F4317C">
            <w:pPr>
              <w:pStyle w:val="ConsPlusNormal"/>
              <w:jc w:val="center"/>
            </w:pPr>
            <w:r>
              <w:t>на предоставление субсидии в целях возмещения затрат по капитальному ремонту многоквартирных домов городского округа Тольятти</w:t>
            </w:r>
          </w:p>
        </w:tc>
      </w:tr>
      <w:tr w:rsidR="00F4317C">
        <w:tc>
          <w:tcPr>
            <w:tcW w:w="4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9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(наименование главного распорядителя)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9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(наименование Управляющей организации)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Адрес: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"_____" __________________ 20______ г.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Прошу предоставить субсидию в целях возмещения затрат по капитальному ремонту многоквартирных домов городского округа Тольятти в сумме _____________________________________________________ рублей на оказание</w:t>
            </w:r>
          </w:p>
        </w:tc>
      </w:tr>
      <w:tr w:rsidR="00F4317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(сумма цифрами и прописью)</w:t>
            </w:r>
          </w:p>
        </w:tc>
      </w:tr>
      <w:tr w:rsidR="00F4317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услуг и (или) выполнение работ в рамках реализации мероприятия</w:t>
            </w:r>
          </w:p>
        </w:tc>
      </w:tr>
      <w:tr w:rsidR="00F4317C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мероприятия)</w:t>
            </w:r>
          </w:p>
        </w:tc>
      </w:tr>
      <w:tr w:rsidR="00F4317C"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муниципальной программы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муниципальной программы)</w:t>
            </w:r>
          </w:p>
        </w:tc>
      </w:tr>
      <w:tr w:rsidR="00F4317C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lastRenderedPageBreak/>
              <w:t>по следующем</w:t>
            </w:r>
            <w:proofErr w:type="gramStart"/>
            <w:r>
              <w:t>у(</w:t>
            </w:r>
            <w:proofErr w:type="gramEnd"/>
            <w:r>
              <w:t>-</w:t>
            </w:r>
            <w:proofErr w:type="spellStart"/>
            <w:r>
              <w:t>щим</w:t>
            </w:r>
            <w:proofErr w:type="spellEnd"/>
            <w:r>
              <w:t>) адресу(-</w:t>
            </w:r>
            <w:proofErr w:type="spellStart"/>
            <w:r>
              <w:t>ам</w:t>
            </w:r>
            <w:proofErr w:type="spellEnd"/>
            <w:r>
              <w:t>):</w:t>
            </w: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sectPr w:rsidR="00F4317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04"/>
        <w:gridCol w:w="1304"/>
        <w:gridCol w:w="680"/>
        <w:gridCol w:w="964"/>
        <w:gridCol w:w="1121"/>
        <w:gridCol w:w="1274"/>
        <w:gridCol w:w="1204"/>
        <w:gridCol w:w="1304"/>
      </w:tblGrid>
      <w:tr w:rsidR="00F4317C">
        <w:tc>
          <w:tcPr>
            <w:tcW w:w="567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30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680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112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3782" w:type="dxa"/>
            <w:gridSpan w:val="3"/>
          </w:tcPr>
          <w:p w:rsidR="00F4317C" w:rsidRDefault="00F4317C">
            <w:pPr>
              <w:pStyle w:val="ConsPlusNormal"/>
              <w:jc w:val="center"/>
            </w:pPr>
            <w:r>
              <w:t>Общая стоимость работ, руб.</w:t>
            </w:r>
          </w:p>
        </w:tc>
      </w:tr>
      <w:tr w:rsidR="00F4317C">
        <w:tc>
          <w:tcPr>
            <w:tcW w:w="567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80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30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680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121" w:type="dxa"/>
          </w:tcPr>
          <w:p w:rsidR="00F4317C" w:rsidRDefault="00F431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4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204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бюджета городского округа Тольятти</w:t>
            </w:r>
          </w:p>
        </w:tc>
        <w:tc>
          <w:tcPr>
            <w:tcW w:w="1304" w:type="dxa"/>
          </w:tcPr>
          <w:p w:rsidR="00F4317C" w:rsidRDefault="00F4317C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F4317C" w:rsidRDefault="00F431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4317C" w:rsidRDefault="00F431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F4317C" w:rsidRDefault="00F431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F4317C" w:rsidRDefault="00F431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F4317C" w:rsidRDefault="00F431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F4317C" w:rsidRDefault="00F431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F4317C" w:rsidRDefault="00F431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F4317C" w:rsidRDefault="00F4317C">
            <w:pPr>
              <w:pStyle w:val="ConsPlusNormal"/>
              <w:jc w:val="center"/>
            </w:pPr>
            <w:r>
              <w:t>9</w:t>
            </w: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0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0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6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2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0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04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2371" w:type="dxa"/>
            <w:gridSpan w:val="2"/>
          </w:tcPr>
          <w:p w:rsidR="00F4317C" w:rsidRDefault="00F4317C">
            <w:pPr>
              <w:pStyle w:val="ConsPlusNormal"/>
            </w:pPr>
            <w:r>
              <w:t>Итого:</w:t>
            </w:r>
          </w:p>
        </w:tc>
        <w:tc>
          <w:tcPr>
            <w:tcW w:w="130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6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2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0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304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sectPr w:rsidR="00F431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317C" w:rsidRDefault="00F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11"/>
        <w:gridCol w:w="2250"/>
        <w:gridCol w:w="465"/>
        <w:gridCol w:w="2311"/>
        <w:gridCol w:w="406"/>
      </w:tblGrid>
      <w:tr w:rsidR="00F4317C"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Настоящим подтверждаю, что</w:t>
            </w:r>
          </w:p>
        </w:tc>
        <w:tc>
          <w:tcPr>
            <w:tcW w:w="5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  <w:jc w:val="right"/>
            </w:pPr>
            <w:r>
              <w:t>:</w:t>
            </w:r>
          </w:p>
        </w:tc>
      </w:tr>
      <w:tr w:rsidR="00F4317C"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Управляющей организации)</w:t>
            </w:r>
          </w:p>
        </w:tc>
      </w:tr>
      <w:tr w:rsidR="00F4317C"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соответствует требованиям, указанным в пункте 2.5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целях возмещения затрат на капитальный ремонт многоквартирных домов городского округа Тольятти, утвержденного постановлением мэрии городского округа Тольятти от 11.07.2013 N 2254-п/1.</w:t>
            </w:r>
          </w:p>
          <w:p w:rsidR="00F4317C" w:rsidRDefault="00F4317C">
            <w:pPr>
              <w:pStyle w:val="ConsPlusNormal"/>
              <w:jc w:val="both"/>
            </w:pPr>
            <w:r>
              <w:t>Гарантирую целевое использование средств, предоставленных на капитальный ремонт указанног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объекта(-</w:t>
            </w:r>
            <w:proofErr w:type="spellStart"/>
            <w:r>
              <w:t>ов</w:t>
            </w:r>
            <w:proofErr w:type="spellEnd"/>
            <w:r>
              <w:t>).</w:t>
            </w:r>
          </w:p>
        </w:tc>
      </w:tr>
      <w:tr w:rsidR="00F4317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/</w:t>
            </w:r>
          </w:p>
        </w:tc>
      </w:tr>
      <w:tr w:rsidR="00F4317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8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М.П.</w:t>
            </w: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4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center"/>
      </w:pPr>
      <w:bookmarkStart w:id="29" w:name="P462"/>
      <w:bookmarkEnd w:id="29"/>
      <w:r>
        <w:t>Журнал</w:t>
      </w:r>
    </w:p>
    <w:p w:rsidR="00F4317C" w:rsidRDefault="00F4317C">
      <w:pPr>
        <w:pStyle w:val="ConsPlusNormal"/>
        <w:jc w:val="center"/>
      </w:pPr>
      <w:r>
        <w:t>регистрации заявок на предоставление субсидий</w:t>
      </w:r>
    </w:p>
    <w:p w:rsidR="00F4317C" w:rsidRDefault="00F43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6"/>
        <w:gridCol w:w="978"/>
        <w:gridCol w:w="1742"/>
        <w:gridCol w:w="2041"/>
        <w:gridCol w:w="1701"/>
        <w:gridCol w:w="1179"/>
      </w:tblGrid>
      <w:tr w:rsidR="00F4317C">
        <w:tc>
          <w:tcPr>
            <w:tcW w:w="567" w:type="dxa"/>
          </w:tcPr>
          <w:p w:rsidR="00F4317C" w:rsidRDefault="00F431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6" w:type="dxa"/>
          </w:tcPr>
          <w:p w:rsidR="00F4317C" w:rsidRDefault="00F4317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78" w:type="dxa"/>
          </w:tcPr>
          <w:p w:rsidR="00F4317C" w:rsidRDefault="00F4317C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742" w:type="dxa"/>
          </w:tcPr>
          <w:p w:rsidR="00F4317C" w:rsidRDefault="00F4317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041" w:type="dxa"/>
          </w:tcPr>
          <w:p w:rsidR="00F4317C" w:rsidRDefault="00F4317C">
            <w:pPr>
              <w:pStyle w:val="ConsPlusNormal"/>
              <w:jc w:val="center"/>
            </w:pPr>
            <w:r>
              <w:t>Наименование муниципальной программы, в рамках которой подается заявка</w:t>
            </w:r>
          </w:p>
        </w:tc>
        <w:tc>
          <w:tcPr>
            <w:tcW w:w="1701" w:type="dxa"/>
          </w:tcPr>
          <w:p w:rsidR="00F4317C" w:rsidRDefault="00F4317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79" w:type="dxa"/>
          </w:tcPr>
          <w:p w:rsidR="00F4317C" w:rsidRDefault="00F4317C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7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04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79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5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области от 15.12.2021 N 3783-п/1)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1"/>
      </w:tblGrid>
      <w:tr w:rsidR="00F4317C"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right"/>
            </w:pPr>
            <w:r>
              <w:t>Утверждаю</w:t>
            </w:r>
          </w:p>
          <w:p w:rsidR="00F4317C" w:rsidRDefault="00F4317C">
            <w:pPr>
              <w:pStyle w:val="ConsPlusNormal"/>
              <w:jc w:val="right"/>
            </w:pPr>
            <w:r>
              <w:t>первый заместитель главы</w:t>
            </w:r>
          </w:p>
          <w:p w:rsidR="00F4317C" w:rsidRDefault="00F4317C">
            <w:pPr>
              <w:pStyle w:val="ConsPlusNormal"/>
              <w:jc w:val="right"/>
            </w:pPr>
            <w:r>
              <w:t>городского округа Тольятти</w:t>
            </w:r>
          </w:p>
          <w:p w:rsidR="00F4317C" w:rsidRDefault="00F4317C">
            <w:pPr>
              <w:pStyle w:val="ConsPlusNormal"/>
              <w:jc w:val="right"/>
            </w:pPr>
            <w:r>
              <w:t>_____________________ (_______________)</w:t>
            </w:r>
          </w:p>
          <w:p w:rsidR="00F4317C" w:rsidRDefault="00F4317C">
            <w:pPr>
              <w:pStyle w:val="ConsPlusNormal"/>
              <w:jc w:val="right"/>
            </w:pPr>
            <w:r>
              <w:t>___ ______ 20__ г.</w:t>
            </w:r>
          </w:p>
        </w:tc>
      </w:tr>
      <w:tr w:rsidR="00F4317C"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bookmarkStart w:id="30" w:name="P633"/>
            <w:bookmarkEnd w:id="30"/>
            <w:r>
              <w:t>ПЕРЕЧЕНЬ ПОЛУЧАТЕЛЕЙ СУБСИДИИ</w:t>
            </w:r>
          </w:p>
          <w:p w:rsidR="00F4317C" w:rsidRDefault="00F4317C">
            <w:pPr>
              <w:pStyle w:val="ConsPlusNormal"/>
              <w:jc w:val="center"/>
            </w:pPr>
            <w:r>
              <w:t>в целях возмещения затрат на капитальный ремонт многоквартирных домов</w:t>
            </w:r>
          </w:p>
          <w:p w:rsidR="00F4317C" w:rsidRDefault="00F4317C">
            <w:pPr>
              <w:pStyle w:val="ConsPlusNormal"/>
              <w:jc w:val="center"/>
            </w:pPr>
            <w:r>
              <w:t>на реализацию _____________________________________________________</w:t>
            </w:r>
          </w:p>
        </w:tc>
      </w:tr>
      <w:tr w:rsidR="00F4317C"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мероприятия муниципальной программы)</w:t>
            </w:r>
          </w:p>
        </w:tc>
      </w:tr>
      <w:tr w:rsidR="00F4317C"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lastRenderedPageBreak/>
              <w:t xml:space="preserve">в городском округе Тольятти на 20___ г., </w:t>
            </w:r>
            <w:proofErr w:type="gramStart"/>
            <w:r>
              <w:t>предусмотренных</w:t>
            </w:r>
            <w:proofErr w:type="gramEnd"/>
            <w:r>
              <w:t xml:space="preserve"> муниципальной программой</w:t>
            </w:r>
          </w:p>
        </w:tc>
      </w:tr>
      <w:tr w:rsidR="00F4317C"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blPrEx>
          <w:tblBorders>
            <w:insideH w:val="single" w:sz="4" w:space="0" w:color="auto"/>
          </w:tblBorders>
        </w:tblPrEx>
        <w:tc>
          <w:tcPr>
            <w:tcW w:w="8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муниципальной программы)</w:t>
            </w: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sectPr w:rsidR="00F4317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701"/>
        <w:gridCol w:w="1814"/>
        <w:gridCol w:w="1871"/>
        <w:gridCol w:w="1134"/>
        <w:gridCol w:w="1417"/>
        <w:gridCol w:w="1559"/>
        <w:gridCol w:w="1418"/>
        <w:gridCol w:w="1644"/>
      </w:tblGrid>
      <w:tr w:rsidR="00F4317C">
        <w:tc>
          <w:tcPr>
            <w:tcW w:w="580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1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Управляющая организация</w:t>
            </w:r>
          </w:p>
        </w:tc>
        <w:tc>
          <w:tcPr>
            <w:tcW w:w="1871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5528" w:type="dxa"/>
            <w:gridSpan w:val="4"/>
          </w:tcPr>
          <w:p w:rsidR="00F4317C" w:rsidRDefault="00F4317C">
            <w:pPr>
              <w:pStyle w:val="ConsPlusNormal"/>
              <w:jc w:val="center"/>
            </w:pPr>
            <w:r>
              <w:t>Общая стоимость работ, руб.</w:t>
            </w:r>
          </w:p>
        </w:tc>
        <w:tc>
          <w:tcPr>
            <w:tcW w:w="1644" w:type="dxa"/>
          </w:tcPr>
          <w:p w:rsidR="00F4317C" w:rsidRDefault="00F431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4317C">
        <w:tc>
          <w:tcPr>
            <w:tcW w:w="580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81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871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559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бюджета городского округа Тольятти</w:t>
            </w:r>
          </w:p>
        </w:tc>
        <w:tc>
          <w:tcPr>
            <w:tcW w:w="1418" w:type="dxa"/>
          </w:tcPr>
          <w:p w:rsidR="00F4317C" w:rsidRDefault="00F4317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644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1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7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59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644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1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7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59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644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  <w:jc w:val="both"/>
            </w:pPr>
            <w:r>
              <w:t>Всего по городу:</w:t>
            </w:r>
          </w:p>
        </w:tc>
        <w:tc>
          <w:tcPr>
            <w:tcW w:w="181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7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59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644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701" w:type="dxa"/>
          </w:tcPr>
          <w:p w:rsidR="00F4317C" w:rsidRDefault="00F4317C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управляющим организациям:</w:t>
            </w:r>
          </w:p>
        </w:tc>
        <w:tc>
          <w:tcPr>
            <w:tcW w:w="181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7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59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644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sectPr w:rsidR="00F431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317C" w:rsidRDefault="00F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F4317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Председатель комиссии по рассмотрению</w:t>
            </w:r>
          </w:p>
          <w:p w:rsidR="00F4317C" w:rsidRDefault="00F4317C">
            <w:pPr>
              <w:pStyle w:val="ConsPlusNormal"/>
              <w:jc w:val="both"/>
            </w:pPr>
            <w:r>
              <w:t xml:space="preserve">заявок на предоставление субсидий </w:t>
            </w:r>
            <w:proofErr w:type="gramStart"/>
            <w:r>
              <w:t>в</w:t>
            </w:r>
            <w:proofErr w:type="gramEnd"/>
          </w:p>
          <w:p w:rsidR="00F4317C" w:rsidRDefault="00F4317C">
            <w:pPr>
              <w:pStyle w:val="ConsPlusNormal"/>
              <w:jc w:val="both"/>
            </w:pPr>
            <w:r>
              <w:t xml:space="preserve">целях возмещения затрат на </w:t>
            </w:r>
            <w:proofErr w:type="gramStart"/>
            <w:r>
              <w:t>капитальный</w:t>
            </w:r>
            <w:proofErr w:type="gramEnd"/>
          </w:p>
          <w:p w:rsidR="00F4317C" w:rsidRDefault="00F4317C">
            <w:pPr>
              <w:pStyle w:val="ConsPlusNormal"/>
              <w:jc w:val="both"/>
            </w:pPr>
            <w:r>
              <w:t>ремонт многоквартирных домов</w:t>
            </w:r>
            <w:proofErr w:type="gramStart"/>
            <w:r>
              <w:t xml:space="preserve"> ______________ (___________________)</w:t>
            </w:r>
            <w:proofErr w:type="gramEnd"/>
          </w:p>
        </w:tc>
      </w:tr>
      <w:tr w:rsidR="00F4317C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Протокол N _______ от _______________ 20__ г.</w:t>
            </w: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6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Title"/>
        <w:jc w:val="center"/>
      </w:pPr>
      <w:bookmarkStart w:id="31" w:name="P707"/>
      <w:bookmarkEnd w:id="31"/>
      <w:r>
        <w:t>МЕТОДИКА РАСЧЕТА РАЗМЕРА СУБСИДИИ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center"/>
      </w:pPr>
      <w:r>
        <w:t>R = S - D,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>где: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R - размер субсидии, приходящейся на конкретный многоквартирный дом, указанный в заявке на предоставление субсидии;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S - сметная стоимость оказываемых услуг и (или) выполняемых работ в данном многоквартирном доме; источником получения данной величины служит расчет сметной стоимости капитального ремонта многоквартирного дома, являющийся обязательным приложением к заявке на предоставление субсидии;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D - сумма </w:t>
      </w:r>
      <w:proofErr w:type="spellStart"/>
      <w:r>
        <w:t>софинансирования</w:t>
      </w:r>
      <w:proofErr w:type="spellEnd"/>
      <w:r>
        <w:t xml:space="preserve"> оказываемых услуг и (или) выполняемых работ собственниками помещений в данном многоквартирном доме и (или) Управляющей организацией; источником получения данной величины служит копия протокола общего собрания собственников помещений в многоквартирном доме с решением о проведении капитального ремонта общего имущества многоквартирного дома, который является обязательным приложением к заявке;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 xml:space="preserve">При этом R не должна превышать величину </w:t>
      </w:r>
      <w:proofErr w:type="spellStart"/>
      <w:r>
        <w:t>Rmax</w:t>
      </w:r>
      <w:proofErr w:type="spellEnd"/>
      <w:r>
        <w:t>, которая определяется по следующей формуле: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center"/>
      </w:pPr>
      <w:proofErr w:type="spellStart"/>
      <w:r>
        <w:t>Rmax</w:t>
      </w:r>
      <w:proofErr w:type="spellEnd"/>
      <w:r>
        <w:t xml:space="preserve"> = S x </w:t>
      </w:r>
      <w:proofErr w:type="spellStart"/>
      <w:r>
        <w:t>X</w:t>
      </w:r>
      <w:proofErr w:type="spellEnd"/>
      <w:r>
        <w:t>,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ind w:firstLine="540"/>
        <w:jc w:val="both"/>
      </w:pPr>
      <w:r>
        <w:t>где</w:t>
      </w:r>
    </w:p>
    <w:p w:rsidR="00F4317C" w:rsidRDefault="00F4317C">
      <w:pPr>
        <w:pStyle w:val="ConsPlusNormal"/>
        <w:spacing w:before="220"/>
        <w:ind w:firstLine="540"/>
        <w:jc w:val="both"/>
      </w:pPr>
      <w:r>
        <w:t>X - максимальный процент предоставляемой субсидии, установленный муниципальной программой.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7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области от 19.10.2018 N 3124-п/1)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nformat"/>
        <w:jc w:val="both"/>
      </w:pPr>
      <w:bookmarkStart w:id="32" w:name="P737"/>
      <w:bookmarkEnd w:id="32"/>
      <w:r>
        <w:t xml:space="preserve">                                   ОТЧЕТ</w:t>
      </w:r>
    </w:p>
    <w:p w:rsidR="00F4317C" w:rsidRDefault="00F4317C">
      <w:pPr>
        <w:pStyle w:val="ConsPlusNonformat"/>
        <w:jc w:val="both"/>
      </w:pPr>
      <w:r>
        <w:t xml:space="preserve">                         О ПРОИЗВЕДЕННЫХ ЗАТРАТАХ</w:t>
      </w:r>
    </w:p>
    <w:p w:rsidR="00F4317C" w:rsidRDefault="00F4317C">
      <w:pPr>
        <w:pStyle w:val="ConsPlusNonformat"/>
        <w:jc w:val="both"/>
      </w:pPr>
      <w:r>
        <w:t xml:space="preserve">               ПО КАПИТАЛЬНОМУ РЕМОНТУ МНОГОКВАРТИРНЫХ ДОМОВ</w:t>
      </w:r>
    </w:p>
    <w:p w:rsidR="00F4317C" w:rsidRDefault="00F4317C">
      <w:pPr>
        <w:pStyle w:val="ConsPlusNonformat"/>
        <w:jc w:val="both"/>
      </w:pPr>
      <w:r>
        <w:t xml:space="preserve">      по ____________________________________________________________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    (наименование мероприятия)</w:t>
      </w:r>
    </w:p>
    <w:p w:rsidR="00F4317C" w:rsidRDefault="00F4317C">
      <w:pPr>
        <w:pStyle w:val="ConsPlusNonformat"/>
        <w:jc w:val="both"/>
      </w:pPr>
      <w:r>
        <w:t>муниципальной программы 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        (наименование муниципальной программы)</w:t>
      </w:r>
    </w:p>
    <w:p w:rsidR="00F4317C" w:rsidRDefault="00F4317C">
      <w:pPr>
        <w:pStyle w:val="ConsPlusNonformat"/>
        <w:jc w:val="both"/>
      </w:pPr>
      <w:r>
        <w:t xml:space="preserve">       ____________________________________________________________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F4317C" w:rsidRDefault="00F4317C">
      <w:pPr>
        <w:pStyle w:val="ConsPlusNonformat"/>
        <w:jc w:val="both"/>
      </w:pPr>
      <w:r>
        <w:t xml:space="preserve">                    за 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           (месяц, год)</w:t>
      </w:r>
    </w:p>
    <w:p w:rsidR="00F4317C" w:rsidRDefault="00F43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50"/>
        <w:gridCol w:w="708"/>
        <w:gridCol w:w="964"/>
        <w:gridCol w:w="1020"/>
        <w:gridCol w:w="1842"/>
        <w:gridCol w:w="907"/>
        <w:gridCol w:w="1077"/>
      </w:tblGrid>
      <w:tr w:rsidR="00F4317C">
        <w:tc>
          <w:tcPr>
            <w:tcW w:w="567" w:type="dxa"/>
          </w:tcPr>
          <w:p w:rsidR="00F4317C" w:rsidRDefault="00F431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F4317C" w:rsidRDefault="00F4317C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850" w:type="dxa"/>
          </w:tcPr>
          <w:p w:rsidR="00F4317C" w:rsidRDefault="00F4317C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708" w:type="dxa"/>
          </w:tcPr>
          <w:p w:rsidR="00F4317C" w:rsidRDefault="00F4317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</w:tcPr>
          <w:p w:rsidR="00F4317C" w:rsidRDefault="00F4317C">
            <w:pPr>
              <w:pStyle w:val="ConsPlusNormal"/>
              <w:jc w:val="center"/>
            </w:pPr>
            <w:r>
              <w:t>Объем выполненных работ</w:t>
            </w:r>
          </w:p>
        </w:tc>
        <w:tc>
          <w:tcPr>
            <w:tcW w:w="1020" w:type="dxa"/>
          </w:tcPr>
          <w:p w:rsidR="00F4317C" w:rsidRDefault="00F4317C">
            <w:pPr>
              <w:pStyle w:val="ConsPlusNormal"/>
              <w:jc w:val="center"/>
            </w:pPr>
            <w:r>
              <w:t>Общая стоимость выполненных работ</w:t>
            </w:r>
          </w:p>
        </w:tc>
        <w:tc>
          <w:tcPr>
            <w:tcW w:w="1842" w:type="dxa"/>
          </w:tcPr>
          <w:p w:rsidR="00F4317C" w:rsidRDefault="00F4317C">
            <w:pPr>
              <w:pStyle w:val="ConsPlusNormal"/>
              <w:jc w:val="center"/>
            </w:pPr>
            <w:r>
              <w:t>Сумма средств собственников, использованных на проведение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емонта</w:t>
            </w:r>
          </w:p>
        </w:tc>
        <w:tc>
          <w:tcPr>
            <w:tcW w:w="907" w:type="dxa"/>
          </w:tcPr>
          <w:p w:rsidR="00F4317C" w:rsidRDefault="00F4317C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077" w:type="dxa"/>
          </w:tcPr>
          <w:p w:rsidR="00F4317C" w:rsidRDefault="00F4317C">
            <w:pPr>
              <w:pStyle w:val="ConsPlusNormal"/>
              <w:jc w:val="center"/>
            </w:pPr>
            <w:r>
              <w:t>Исполнитель (Подрядчик)</w:t>
            </w: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5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2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0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77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56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5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2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0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77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223" w:type="dxa"/>
            <w:gridSpan w:val="5"/>
          </w:tcPr>
          <w:p w:rsidR="00F4317C" w:rsidRDefault="00F4317C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02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84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0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77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nformat"/>
        <w:jc w:val="both"/>
      </w:pPr>
      <w:r>
        <w:t>Руководитель __________________________________________________________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  (подпись)                  И.О. Фамилия</w:t>
      </w:r>
    </w:p>
    <w:p w:rsidR="00F4317C" w:rsidRDefault="00F4317C">
      <w:pPr>
        <w:pStyle w:val="ConsPlusNonformat"/>
        <w:jc w:val="both"/>
      </w:pPr>
      <w:r>
        <w:t>Гл. бухгалтер 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  (подпись)                  И.О. Фамилия</w:t>
      </w:r>
    </w:p>
    <w:p w:rsidR="00F4317C" w:rsidRDefault="00F4317C">
      <w:pPr>
        <w:pStyle w:val="ConsPlusNonformat"/>
        <w:jc w:val="both"/>
      </w:pPr>
      <w:r>
        <w:t>М.П.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8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nformat"/>
        <w:jc w:val="both"/>
      </w:pPr>
      <w:bookmarkStart w:id="33" w:name="P800"/>
      <w:bookmarkEnd w:id="33"/>
      <w:r>
        <w:t xml:space="preserve">                                   ОТЧЕТ</w:t>
      </w:r>
    </w:p>
    <w:p w:rsidR="00F4317C" w:rsidRDefault="00F4317C">
      <w:pPr>
        <w:pStyle w:val="ConsPlusNonformat"/>
        <w:jc w:val="both"/>
      </w:pPr>
      <w:r>
        <w:t xml:space="preserve">                 о достижении показателей результативности</w:t>
      </w:r>
    </w:p>
    <w:p w:rsidR="00F4317C" w:rsidRDefault="00F4317C">
      <w:pPr>
        <w:pStyle w:val="ConsPlusNonformat"/>
        <w:jc w:val="both"/>
      </w:pPr>
    </w:p>
    <w:p w:rsidR="00F4317C" w:rsidRDefault="00F4317C">
      <w:pPr>
        <w:pStyle w:val="ConsPlusNonformat"/>
        <w:jc w:val="both"/>
      </w:pPr>
      <w:r>
        <w:t xml:space="preserve">         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F4317C" w:rsidRDefault="00F4317C">
      <w:pPr>
        <w:pStyle w:val="ConsPlusNonformat"/>
        <w:jc w:val="both"/>
      </w:pPr>
      <w:r>
        <w:t>___________________________________________________________________________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      (наименование мероприятия)</w:t>
      </w:r>
    </w:p>
    <w:p w:rsidR="00F4317C" w:rsidRDefault="00F4317C">
      <w:pPr>
        <w:pStyle w:val="ConsPlusNonformat"/>
        <w:jc w:val="both"/>
      </w:pPr>
      <w:r>
        <w:t>___________________________________________________________________________</w:t>
      </w:r>
    </w:p>
    <w:p w:rsidR="00F4317C" w:rsidRDefault="00F4317C">
      <w:pPr>
        <w:pStyle w:val="ConsPlusNonformat"/>
        <w:jc w:val="both"/>
      </w:pPr>
      <w:r>
        <w:t xml:space="preserve">                  (наименование муниципальной программы)</w:t>
      </w:r>
    </w:p>
    <w:p w:rsidR="00F4317C" w:rsidRDefault="00F4317C">
      <w:pPr>
        <w:pStyle w:val="ConsPlusNonformat"/>
        <w:jc w:val="both"/>
      </w:pPr>
    </w:p>
    <w:p w:rsidR="00F4317C" w:rsidRDefault="00F4317C">
      <w:pPr>
        <w:pStyle w:val="ConsPlusNonformat"/>
        <w:jc w:val="both"/>
      </w:pPr>
      <w:r>
        <w:t>Номер и дата соглашения ___________________________________________________</w:t>
      </w:r>
    </w:p>
    <w:p w:rsidR="00F4317C" w:rsidRDefault="00F4317C">
      <w:pPr>
        <w:pStyle w:val="ConsPlusNonformat"/>
        <w:jc w:val="both"/>
      </w:pPr>
      <w:r>
        <w:t>ИНН: ______________________________________________________________________</w:t>
      </w:r>
    </w:p>
    <w:p w:rsidR="00F4317C" w:rsidRDefault="00F4317C">
      <w:pPr>
        <w:pStyle w:val="ConsPlusNonformat"/>
        <w:jc w:val="both"/>
      </w:pPr>
      <w:r>
        <w:t>КПП: ______________________________________________________________________</w:t>
      </w:r>
    </w:p>
    <w:p w:rsidR="00F4317C" w:rsidRDefault="00F4317C">
      <w:pPr>
        <w:pStyle w:val="ConsPlusNonformat"/>
        <w:jc w:val="both"/>
      </w:pPr>
      <w:r>
        <w:t>ОГРН (ОГРНИП): ____________________________________________________________</w:t>
      </w:r>
    </w:p>
    <w:p w:rsidR="00F4317C" w:rsidRDefault="00F4317C">
      <w:pPr>
        <w:pStyle w:val="ConsPlusNonformat"/>
        <w:jc w:val="both"/>
      </w:pPr>
      <w:r>
        <w:t>Фактический адрес: ________________________________________________________</w:t>
      </w:r>
    </w:p>
    <w:p w:rsidR="00F4317C" w:rsidRDefault="00F4317C">
      <w:pPr>
        <w:pStyle w:val="ConsPlusNonformat"/>
        <w:jc w:val="both"/>
      </w:pPr>
      <w:r>
        <w:t>Контактный телефон: _______________________________________________________</w:t>
      </w:r>
    </w:p>
    <w:p w:rsidR="00F4317C" w:rsidRDefault="00F4317C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___________________________________________________________________</w:t>
      </w:r>
    </w:p>
    <w:p w:rsidR="00F4317C" w:rsidRDefault="00F43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71"/>
        <w:gridCol w:w="1361"/>
        <w:gridCol w:w="2032"/>
        <w:gridCol w:w="1606"/>
        <w:gridCol w:w="1589"/>
      </w:tblGrid>
      <w:tr w:rsidR="00F4317C">
        <w:tc>
          <w:tcPr>
            <w:tcW w:w="604" w:type="dxa"/>
          </w:tcPr>
          <w:p w:rsidR="00F4317C" w:rsidRDefault="00F431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F4317C" w:rsidRDefault="00F4317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F4317C" w:rsidRDefault="00F431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32" w:type="dxa"/>
          </w:tcPr>
          <w:p w:rsidR="00F4317C" w:rsidRDefault="00F4317C">
            <w:pPr>
              <w:pStyle w:val="ConsPlusNormal"/>
              <w:jc w:val="center"/>
            </w:pPr>
            <w:r>
              <w:t>Плановый показатель</w:t>
            </w:r>
          </w:p>
        </w:tc>
        <w:tc>
          <w:tcPr>
            <w:tcW w:w="1606" w:type="dxa"/>
          </w:tcPr>
          <w:p w:rsidR="00F4317C" w:rsidRDefault="00F4317C">
            <w:pPr>
              <w:pStyle w:val="ConsPlusNormal"/>
              <w:jc w:val="center"/>
            </w:pPr>
            <w:r>
              <w:t>Итоговый показатель</w:t>
            </w:r>
          </w:p>
        </w:tc>
        <w:tc>
          <w:tcPr>
            <w:tcW w:w="1589" w:type="dxa"/>
          </w:tcPr>
          <w:p w:rsidR="00F4317C" w:rsidRDefault="00F4317C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F4317C">
        <w:tc>
          <w:tcPr>
            <w:tcW w:w="604" w:type="dxa"/>
          </w:tcPr>
          <w:p w:rsidR="00F4317C" w:rsidRDefault="00F431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F4317C" w:rsidRDefault="00F4317C">
            <w:pPr>
              <w:pStyle w:val="ConsPlusNormal"/>
            </w:pPr>
            <w:r>
              <w:t>Выполнение работ по капитальному ремонту многоквартирных домов в срок, установленный соглашением</w:t>
            </w:r>
          </w:p>
        </w:tc>
        <w:tc>
          <w:tcPr>
            <w:tcW w:w="1361" w:type="dxa"/>
          </w:tcPr>
          <w:p w:rsidR="00F4317C" w:rsidRDefault="00F4317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32" w:type="dxa"/>
          </w:tcPr>
          <w:p w:rsidR="00F4317C" w:rsidRDefault="00F4317C">
            <w:pPr>
              <w:pStyle w:val="ConsPlusNormal"/>
            </w:pPr>
            <w:r>
              <w:t>дата выполнения работ, указанная в соглашении (не позднее 20 декабря текущего года)</w:t>
            </w:r>
          </w:p>
        </w:tc>
        <w:tc>
          <w:tcPr>
            <w:tcW w:w="160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9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604" w:type="dxa"/>
          </w:tcPr>
          <w:p w:rsidR="00F4317C" w:rsidRDefault="00F431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4317C" w:rsidRDefault="00F4317C">
            <w:pPr>
              <w:pStyle w:val="ConsPlusNormal"/>
            </w:pPr>
            <w:r>
              <w:t>Доля объема выполненных работ в общем объеме работ, указанных в соглашении</w:t>
            </w:r>
          </w:p>
        </w:tc>
        <w:tc>
          <w:tcPr>
            <w:tcW w:w="1361" w:type="dxa"/>
          </w:tcPr>
          <w:p w:rsidR="00F4317C" w:rsidRDefault="00F4317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032" w:type="dxa"/>
          </w:tcPr>
          <w:p w:rsidR="00F4317C" w:rsidRDefault="00F4317C">
            <w:pPr>
              <w:pStyle w:val="ConsPlusNormal"/>
            </w:pPr>
            <w:r>
              <w:t>не менее 90%</w:t>
            </w:r>
          </w:p>
        </w:tc>
        <w:tc>
          <w:tcPr>
            <w:tcW w:w="1606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9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nformat"/>
        <w:jc w:val="both"/>
      </w:pPr>
      <w:r>
        <w:t>Дата ___________________</w:t>
      </w:r>
    </w:p>
    <w:p w:rsidR="00F4317C" w:rsidRDefault="00F4317C">
      <w:pPr>
        <w:pStyle w:val="ConsPlusNonformat"/>
        <w:jc w:val="both"/>
      </w:pPr>
    </w:p>
    <w:p w:rsidR="00F4317C" w:rsidRDefault="00F4317C">
      <w:pPr>
        <w:pStyle w:val="ConsPlusNonformat"/>
        <w:jc w:val="both"/>
      </w:pPr>
      <w:r>
        <w:t>__________________________________________ ____________/___________________</w:t>
      </w:r>
    </w:p>
    <w:p w:rsidR="00F4317C" w:rsidRDefault="00F4317C">
      <w:pPr>
        <w:pStyle w:val="ConsPlusNonformat"/>
        <w:jc w:val="both"/>
      </w:pPr>
      <w:r>
        <w:t>(Должность руководителя юридического лица)  (подпись)        (Ф.И.О.)</w:t>
      </w:r>
    </w:p>
    <w:p w:rsidR="00F4317C" w:rsidRDefault="00F4317C">
      <w:pPr>
        <w:pStyle w:val="ConsPlusNonformat"/>
        <w:jc w:val="both"/>
      </w:pPr>
      <w:r>
        <w:t>(индивидуальный предприниматель)</w:t>
      </w:r>
    </w:p>
    <w:p w:rsidR="00F4317C" w:rsidRDefault="00F4317C">
      <w:pPr>
        <w:pStyle w:val="ConsPlusNonformat"/>
        <w:jc w:val="both"/>
      </w:pPr>
      <w:r>
        <w:t xml:space="preserve">                                          М.П.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9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431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7C" w:rsidRDefault="00F431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F4317C" w:rsidRDefault="00F4317C">
            <w:pPr>
              <w:pStyle w:val="ConsPlusNormal"/>
              <w:jc w:val="center"/>
            </w:pPr>
            <w:r>
              <w:rPr>
                <w:color w:val="392C69"/>
              </w:rPr>
              <w:t>области от 15.12.2021 N 3783-п/1)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7"/>
        <w:gridCol w:w="1294"/>
        <w:gridCol w:w="3868"/>
        <w:gridCol w:w="1592"/>
      </w:tblGrid>
      <w:tr w:rsidR="00F4317C">
        <w:tc>
          <w:tcPr>
            <w:tcW w:w="8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bookmarkStart w:id="34" w:name="P859"/>
            <w:bookmarkEnd w:id="34"/>
            <w:r>
              <w:t>ОТЧЕТ</w:t>
            </w:r>
          </w:p>
          <w:p w:rsidR="00F4317C" w:rsidRDefault="00F4317C">
            <w:pPr>
              <w:pStyle w:val="ConsPlusNormal"/>
              <w:jc w:val="center"/>
            </w:pPr>
            <w:r>
              <w:t>О ЦЕЛЕВОМ ИСПОЛЬЗОВАНИИ СУБСИДИИ В ЦЕЛЯХ ВОЗМЕЩЕНИЯ ЗАТРАТ ПО КАПИТАЛЬНОМУ РЕМОНТУ МНОГОКВАРТИРНЫХ ДОМОВ ГОРОДСКОГО ОКРУГА ТОЛЬЯТТИ</w:t>
            </w:r>
          </w:p>
        </w:tc>
      </w:tr>
      <w:tr w:rsidR="00F4317C">
        <w:tc>
          <w:tcPr>
            <w:tcW w:w="8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8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(наименование мероприятия)</w:t>
            </w:r>
          </w:p>
        </w:tc>
      </w:tr>
      <w:tr w:rsidR="00F4317C"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муниципальной программы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8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(квартал, год)</w:t>
            </w: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sectPr w:rsidR="00F4317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012"/>
        <w:gridCol w:w="964"/>
        <w:gridCol w:w="730"/>
        <w:gridCol w:w="964"/>
        <w:gridCol w:w="808"/>
        <w:gridCol w:w="1100"/>
        <w:gridCol w:w="1134"/>
        <w:gridCol w:w="1417"/>
        <w:gridCol w:w="808"/>
        <w:gridCol w:w="1151"/>
        <w:gridCol w:w="1160"/>
        <w:gridCol w:w="1275"/>
        <w:gridCol w:w="1585"/>
        <w:gridCol w:w="1516"/>
      </w:tblGrid>
      <w:tr w:rsidR="00F4317C">
        <w:tc>
          <w:tcPr>
            <w:tcW w:w="580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12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96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730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4459" w:type="dxa"/>
            <w:gridSpan w:val="4"/>
          </w:tcPr>
          <w:p w:rsidR="00F4317C" w:rsidRDefault="00F4317C">
            <w:pPr>
              <w:pStyle w:val="ConsPlusNormal"/>
              <w:jc w:val="center"/>
            </w:pPr>
            <w:r>
              <w:t>Объем средств, предусмотренных на выполнение работ, руб.</w:t>
            </w:r>
          </w:p>
        </w:tc>
        <w:tc>
          <w:tcPr>
            <w:tcW w:w="4394" w:type="dxa"/>
            <w:gridSpan w:val="4"/>
          </w:tcPr>
          <w:p w:rsidR="00F4317C" w:rsidRDefault="00F4317C">
            <w:pPr>
              <w:pStyle w:val="ConsPlusNormal"/>
              <w:jc w:val="center"/>
            </w:pPr>
            <w:r>
              <w:t>Фактически профинансировано с начала года, руб.</w:t>
            </w:r>
          </w:p>
        </w:tc>
        <w:tc>
          <w:tcPr>
            <w:tcW w:w="1585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Исполнитель (подрядчик)</w:t>
            </w:r>
          </w:p>
        </w:tc>
        <w:tc>
          <w:tcPr>
            <w:tcW w:w="1516" w:type="dxa"/>
            <w:vMerge w:val="restart"/>
          </w:tcPr>
          <w:p w:rsidR="00F4317C" w:rsidRDefault="00F431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4317C">
        <w:tc>
          <w:tcPr>
            <w:tcW w:w="580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012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730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00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бюджета городского округа Тольятти</w:t>
            </w:r>
          </w:p>
        </w:tc>
        <w:tc>
          <w:tcPr>
            <w:tcW w:w="1134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417" w:type="dxa"/>
          </w:tcPr>
          <w:p w:rsidR="00F4317C" w:rsidRDefault="00F4317C">
            <w:pPr>
              <w:pStyle w:val="ConsPlusNormal"/>
              <w:jc w:val="center"/>
            </w:pPr>
            <w:r>
              <w:t>Средства собственников</w:t>
            </w:r>
          </w:p>
        </w:tc>
        <w:tc>
          <w:tcPr>
            <w:tcW w:w="808" w:type="dxa"/>
          </w:tcPr>
          <w:p w:rsidR="00F4317C" w:rsidRDefault="00F431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51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бюджета городского округа Тольятти</w:t>
            </w:r>
          </w:p>
        </w:tc>
        <w:tc>
          <w:tcPr>
            <w:tcW w:w="1160" w:type="dxa"/>
          </w:tcPr>
          <w:p w:rsidR="00F4317C" w:rsidRDefault="00F4317C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275" w:type="dxa"/>
          </w:tcPr>
          <w:p w:rsidR="00F4317C" w:rsidRDefault="00F4317C">
            <w:pPr>
              <w:pStyle w:val="ConsPlusNormal"/>
              <w:jc w:val="center"/>
            </w:pPr>
            <w:r>
              <w:t>Средства собственников</w:t>
            </w:r>
          </w:p>
        </w:tc>
        <w:tc>
          <w:tcPr>
            <w:tcW w:w="1585" w:type="dxa"/>
            <w:vMerge/>
          </w:tcPr>
          <w:p w:rsidR="00F4317C" w:rsidRDefault="00F4317C">
            <w:pPr>
              <w:pStyle w:val="ConsPlusNormal"/>
            </w:pPr>
          </w:p>
        </w:tc>
        <w:tc>
          <w:tcPr>
            <w:tcW w:w="1516" w:type="dxa"/>
            <w:vMerge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16204" w:type="dxa"/>
            <w:gridSpan w:val="15"/>
          </w:tcPr>
          <w:p w:rsidR="00F4317C" w:rsidRDefault="00F4317C">
            <w:pPr>
              <w:pStyle w:val="ConsPlusNormal"/>
              <w:jc w:val="center"/>
            </w:pPr>
            <w:r>
              <w:t>Управляющая организация</w:t>
            </w:r>
            <w:proofErr w:type="gramStart"/>
            <w:r>
              <w:t xml:space="preserve"> А</w:t>
            </w:r>
            <w:proofErr w:type="gramEnd"/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1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3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0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5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6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16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250" w:type="dxa"/>
            <w:gridSpan w:val="5"/>
          </w:tcPr>
          <w:p w:rsidR="00F4317C" w:rsidRDefault="00F4317C">
            <w:pPr>
              <w:pStyle w:val="ConsPlusNormal"/>
            </w:pPr>
            <w:r>
              <w:t>Итого по управляющей организации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0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5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6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16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16204" w:type="dxa"/>
            <w:gridSpan w:val="15"/>
          </w:tcPr>
          <w:p w:rsidR="00F4317C" w:rsidRDefault="00F4317C">
            <w:pPr>
              <w:pStyle w:val="ConsPlusNormal"/>
              <w:jc w:val="center"/>
            </w:pPr>
            <w:r>
              <w:t>Управляющая организация</w:t>
            </w:r>
            <w:proofErr w:type="gramStart"/>
            <w:r>
              <w:t xml:space="preserve"> В</w:t>
            </w:r>
            <w:proofErr w:type="gramEnd"/>
          </w:p>
        </w:tc>
      </w:tr>
      <w:tr w:rsidR="00F4317C">
        <w:tc>
          <w:tcPr>
            <w:tcW w:w="58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012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73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96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0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5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6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16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250" w:type="dxa"/>
            <w:gridSpan w:val="5"/>
          </w:tcPr>
          <w:p w:rsidR="00F4317C" w:rsidRDefault="00F4317C">
            <w:pPr>
              <w:pStyle w:val="ConsPlusNormal"/>
            </w:pPr>
            <w:r>
              <w:t>Итого по управляющей организации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0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5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6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16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4250" w:type="dxa"/>
            <w:gridSpan w:val="5"/>
          </w:tcPr>
          <w:p w:rsidR="00F4317C" w:rsidRDefault="00F4317C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0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3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417" w:type="dxa"/>
          </w:tcPr>
          <w:p w:rsidR="00F4317C" w:rsidRDefault="00F4317C">
            <w:pPr>
              <w:pStyle w:val="ConsPlusNormal"/>
            </w:pPr>
          </w:p>
        </w:tc>
        <w:tc>
          <w:tcPr>
            <w:tcW w:w="80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51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160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27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85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16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sectPr w:rsidR="00F431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317C" w:rsidRDefault="00F4317C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8"/>
        <w:gridCol w:w="2701"/>
        <w:gridCol w:w="2818"/>
      </w:tblGrid>
      <w:tr w:rsidR="00F4317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both"/>
            </w:pPr>
            <w:r>
              <w:t>Руководитель департамента</w:t>
            </w:r>
          </w:p>
        </w:tc>
        <w:tc>
          <w:tcPr>
            <w:tcW w:w="5519" w:type="dxa"/>
            <w:gridSpan w:val="2"/>
            <w:tcBorders>
              <w:top w:val="nil"/>
              <w:left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</w:tr>
      <w:tr w:rsidR="00F4317C">
        <w:tblPrEx>
          <w:tblBorders>
            <w:insideH w:val="single" w:sz="4" w:space="0" w:color="auto"/>
          </w:tblBorders>
        </w:tblPrEx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</w:pPr>
          </w:p>
        </w:tc>
        <w:tc>
          <w:tcPr>
            <w:tcW w:w="2701" w:type="dxa"/>
            <w:tcBorders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18" w:type="dxa"/>
            <w:tcBorders>
              <w:left w:val="nil"/>
              <w:bottom w:val="nil"/>
              <w:right w:val="nil"/>
            </w:tcBorders>
          </w:tcPr>
          <w:p w:rsidR="00F4317C" w:rsidRDefault="00F4317C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right"/>
        <w:outlineLvl w:val="1"/>
      </w:pPr>
      <w:r>
        <w:t>Приложение N 10</w:t>
      </w:r>
    </w:p>
    <w:p w:rsidR="00F4317C" w:rsidRDefault="00F4317C">
      <w:pPr>
        <w:pStyle w:val="ConsPlusNormal"/>
        <w:jc w:val="right"/>
      </w:pPr>
      <w:r>
        <w:t>к Порядку</w:t>
      </w:r>
    </w:p>
    <w:p w:rsidR="00F4317C" w:rsidRDefault="00F4317C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F4317C" w:rsidRDefault="00F4317C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F4317C" w:rsidRDefault="00F4317C">
      <w:pPr>
        <w:pStyle w:val="ConsPlusNormal"/>
        <w:jc w:val="right"/>
      </w:pPr>
      <w:r>
        <w:t>индивидуальным предпринимателям - производителям товаров,</w:t>
      </w:r>
    </w:p>
    <w:p w:rsidR="00F4317C" w:rsidRDefault="00F4317C">
      <w:pPr>
        <w:pStyle w:val="ConsPlusNormal"/>
        <w:jc w:val="right"/>
      </w:pPr>
      <w:r>
        <w:t>работ, услуг в целях возмещения затрат на капитальный ремонт</w:t>
      </w:r>
    </w:p>
    <w:p w:rsidR="00F4317C" w:rsidRDefault="00F4317C">
      <w:pPr>
        <w:pStyle w:val="ConsPlusNormal"/>
        <w:jc w:val="right"/>
      </w:pPr>
      <w:r>
        <w:t>многоквартирных домов городского округа Тольятти</w:t>
      </w: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center"/>
      </w:pPr>
      <w:bookmarkStart w:id="35" w:name="P971"/>
      <w:bookmarkEnd w:id="35"/>
      <w:r>
        <w:t>Сводная таблица</w:t>
      </w:r>
    </w:p>
    <w:p w:rsidR="00F4317C" w:rsidRDefault="00F4317C">
      <w:pPr>
        <w:pStyle w:val="ConsPlusNormal"/>
        <w:jc w:val="center"/>
      </w:pPr>
      <w:r>
        <w:t>нарушений правил и норм технической эксплуатации</w:t>
      </w:r>
    </w:p>
    <w:p w:rsidR="00F4317C" w:rsidRDefault="00F4317C">
      <w:pPr>
        <w:pStyle w:val="ConsPlusNormal"/>
        <w:jc w:val="center"/>
      </w:pPr>
      <w:r>
        <w:t>внутридомового газового оборудования по результатам</w:t>
      </w:r>
    </w:p>
    <w:p w:rsidR="00F4317C" w:rsidRDefault="00F4317C">
      <w:pPr>
        <w:pStyle w:val="ConsPlusNormal"/>
        <w:jc w:val="center"/>
      </w:pPr>
      <w:r>
        <w:t>проведенных мероприятий для разработки проектной</w:t>
      </w:r>
    </w:p>
    <w:p w:rsidR="00F4317C" w:rsidRDefault="00F4317C">
      <w:pPr>
        <w:pStyle w:val="ConsPlusNormal"/>
        <w:jc w:val="center"/>
      </w:pPr>
      <w:r>
        <w:t>документации по ремонту внутридомовых инженерных систем</w:t>
      </w:r>
    </w:p>
    <w:p w:rsidR="00F4317C" w:rsidRDefault="00F4317C">
      <w:pPr>
        <w:pStyle w:val="ConsPlusNormal"/>
        <w:jc w:val="center"/>
      </w:pPr>
      <w:r>
        <w:t>газоснабжения в многоквартирном доме по адресу:</w:t>
      </w:r>
    </w:p>
    <w:p w:rsidR="00F4317C" w:rsidRDefault="00F4317C">
      <w:pPr>
        <w:pStyle w:val="ConsPlusNormal"/>
        <w:jc w:val="center"/>
      </w:pPr>
      <w:r>
        <w:t>_____________________________________________</w:t>
      </w:r>
    </w:p>
    <w:p w:rsidR="00F4317C" w:rsidRDefault="00F43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928"/>
        <w:gridCol w:w="1531"/>
      </w:tblGrid>
      <w:tr w:rsidR="00F4317C">
        <w:tc>
          <w:tcPr>
            <w:tcW w:w="624" w:type="dxa"/>
          </w:tcPr>
          <w:p w:rsidR="00F4317C" w:rsidRDefault="00F431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F4317C" w:rsidRDefault="00F4317C">
            <w:pPr>
              <w:pStyle w:val="ConsPlusNormal"/>
              <w:jc w:val="center"/>
            </w:pPr>
            <w:r>
              <w:t>Наименование выявленных нарушений</w:t>
            </w:r>
          </w:p>
        </w:tc>
        <w:tc>
          <w:tcPr>
            <w:tcW w:w="1928" w:type="dxa"/>
          </w:tcPr>
          <w:p w:rsidR="00F4317C" w:rsidRDefault="00F4317C">
            <w:pPr>
              <w:pStyle w:val="ConsPlusNormal"/>
              <w:jc w:val="center"/>
            </w:pPr>
            <w:r>
              <w:t>Единица измерений</w:t>
            </w:r>
          </w:p>
        </w:tc>
        <w:tc>
          <w:tcPr>
            <w:tcW w:w="1531" w:type="dxa"/>
          </w:tcPr>
          <w:p w:rsidR="00F4317C" w:rsidRDefault="00F4317C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F4317C">
        <w:tc>
          <w:tcPr>
            <w:tcW w:w="62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7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92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31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62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7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92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31" w:type="dxa"/>
          </w:tcPr>
          <w:p w:rsidR="00F4317C" w:rsidRDefault="00F4317C">
            <w:pPr>
              <w:pStyle w:val="ConsPlusNormal"/>
            </w:pPr>
          </w:p>
        </w:tc>
      </w:tr>
      <w:tr w:rsidR="00F4317C">
        <w:tc>
          <w:tcPr>
            <w:tcW w:w="624" w:type="dxa"/>
          </w:tcPr>
          <w:p w:rsidR="00F4317C" w:rsidRDefault="00F4317C">
            <w:pPr>
              <w:pStyle w:val="ConsPlusNormal"/>
            </w:pPr>
          </w:p>
        </w:tc>
        <w:tc>
          <w:tcPr>
            <w:tcW w:w="277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928" w:type="dxa"/>
          </w:tcPr>
          <w:p w:rsidR="00F4317C" w:rsidRDefault="00F4317C">
            <w:pPr>
              <w:pStyle w:val="ConsPlusNormal"/>
            </w:pPr>
          </w:p>
        </w:tc>
        <w:tc>
          <w:tcPr>
            <w:tcW w:w="1531" w:type="dxa"/>
          </w:tcPr>
          <w:p w:rsidR="00F4317C" w:rsidRDefault="00F4317C">
            <w:pPr>
              <w:pStyle w:val="ConsPlusNormal"/>
            </w:pPr>
          </w:p>
        </w:tc>
      </w:tr>
    </w:tbl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jc w:val="both"/>
      </w:pPr>
    </w:p>
    <w:p w:rsidR="00F4317C" w:rsidRDefault="00F431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41B" w:rsidRDefault="00F4317C"/>
    <w:sectPr w:rsidR="003D441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7C"/>
    <w:rsid w:val="00755533"/>
    <w:rsid w:val="00E667D5"/>
    <w:rsid w:val="00F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3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3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3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31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3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3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3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31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46A28BD1415D0C9680B7C3A023725317B488C692982B454B6002321C8270C105C3E6238AD58A24E0C8C789EC8DFDD75547F721EC06DFEC85F87A76T0f9F" TargetMode="External"/><Relationship Id="rId18" Type="http://schemas.openxmlformats.org/officeDocument/2006/relationships/hyperlink" Target="consultantplus://offline/ref=6446A28BD1415D0C9680A9CEB64F2E5B15BCD7C2949826101035046543D276944583E076C9908725E9C393D8ADD3A484170CFA22F41ADFEFT9f8F" TargetMode="External"/><Relationship Id="rId26" Type="http://schemas.openxmlformats.org/officeDocument/2006/relationships/hyperlink" Target="consultantplus://offline/ref=6446A28BD1415D0C9680B7C3A023725317B488C69A9C28454B6A5F3814DB7CC302CCB9348D9C8625E0C8C78FE2D2F8C2441FF825F418DEF399FA78T7f7F" TargetMode="External"/><Relationship Id="rId39" Type="http://schemas.openxmlformats.org/officeDocument/2006/relationships/hyperlink" Target="consultantplus://offline/ref=6446A28BD1415D0C9680B7C3A023725317B488C692992C424D6302321C8270C105C3E6238AD58A24E0C8C789EF8DFDD75547F721EC06DFEC85F87A76T0f9F" TargetMode="External"/><Relationship Id="rId21" Type="http://schemas.openxmlformats.org/officeDocument/2006/relationships/hyperlink" Target="consultantplus://offline/ref=6446A28BD1415D0C9680B7C3A023725317B488C6929D2A404D6702321C8270C105C3E62398D5D228E2CED989E898AB8613T1f1F" TargetMode="External"/><Relationship Id="rId34" Type="http://schemas.openxmlformats.org/officeDocument/2006/relationships/hyperlink" Target="consultantplus://offline/ref=6446A28BD1415D0C9680A9CEB64F2E5B15BCD7C2949826101035046543D276945783B87ACB979925E1D6C589EBT8f5F" TargetMode="External"/><Relationship Id="rId42" Type="http://schemas.openxmlformats.org/officeDocument/2006/relationships/hyperlink" Target="consultantplus://offline/ref=6446A28BD1415D0C9680B7C3A023725317B488C6929D2D414C6702321C8270C105C3E6238AD58A24E0C8C788ED8DFDD75547F721EC06DFEC85F87A76T0f9F" TargetMode="External"/><Relationship Id="rId47" Type="http://schemas.openxmlformats.org/officeDocument/2006/relationships/hyperlink" Target="consultantplus://offline/ref=6446A28BD1415D0C9680A9CEB64F2E5B15BCD7C2949826101035046543D276944583E072CA988C71B18C9284EB80B786100CF823E8T1fBF" TargetMode="External"/><Relationship Id="rId50" Type="http://schemas.openxmlformats.org/officeDocument/2006/relationships/hyperlink" Target="consultantplus://offline/ref=6446A28BD1415D0C9680B7C3A023725317B488C6929D2D414C6702321C8270C105C3E6238AD58A24E0C8C78BEF8DFDD75547F721EC06DFEC85F87A76T0f9F" TargetMode="External"/><Relationship Id="rId55" Type="http://schemas.openxmlformats.org/officeDocument/2006/relationships/hyperlink" Target="consultantplus://offline/ref=6446A28BD1415D0C9680B7C3A023725317B488C6929D2D414C6702321C8270C105C3E6238AD58A24E0C8C78BE18DFDD75547F721EC06DFEC85F87A76T0f9F" TargetMode="External"/><Relationship Id="rId63" Type="http://schemas.openxmlformats.org/officeDocument/2006/relationships/hyperlink" Target="consultantplus://offline/ref=6446A28BD1415D0C9680A9CEB64F2E5B12B8D5CF919D26101035046543D276945783B87ACB979925E1D6C589EBT8f5F" TargetMode="External"/><Relationship Id="rId68" Type="http://schemas.openxmlformats.org/officeDocument/2006/relationships/hyperlink" Target="consultantplus://offline/ref=6446A28BD1415D0C9680B7C3A023725317B488C692992C424D6302321C8270C105C3E6238AD58A24E0C8C788EB8DFDD75547F721EC06DFEC85F87A76T0f9F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6446A28BD1415D0C9680B7C3A023725317B488C6959B2D414C6A5F3814DB7CC302CCB9348D9C8625E0C8C78CE2D2F8C2441FF825F418DEF399FA78T7f7F" TargetMode="External"/><Relationship Id="rId71" Type="http://schemas.openxmlformats.org/officeDocument/2006/relationships/hyperlink" Target="consultantplus://offline/ref=6446A28BD1415D0C9680B7C3A023725317B488C6929D2D414C6702321C8270C105C3E6238AD58A24E0C8C78AEA8DFDD75547F721EC06DFEC85F87A76T0f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46A28BD1415D0C9680B7C3A023725317B488C6929B2E444D6102321C8270C105C3E6238AD58A24E0C8C789EC8DFDD75547F721EC06DFEC85F87A76T0f9F" TargetMode="External"/><Relationship Id="rId29" Type="http://schemas.openxmlformats.org/officeDocument/2006/relationships/hyperlink" Target="consultantplus://offline/ref=6446A28BD1415D0C9680B7C3A023725317B488C692992C424D6302321C8270C105C3E6238AD58A24E0C8C789EC8DFDD75547F721EC06DFEC85F87A76T0f9F" TargetMode="External"/><Relationship Id="rId11" Type="http://schemas.openxmlformats.org/officeDocument/2006/relationships/hyperlink" Target="consultantplus://offline/ref=6446A28BD1415D0C9680B7C3A023725317B488C69A9C28454B6A5F3814DB7CC302CCB9348D9C8625E0C8C78CE2D2F8C2441FF825F418DEF399FA78T7f7F" TargetMode="External"/><Relationship Id="rId24" Type="http://schemas.openxmlformats.org/officeDocument/2006/relationships/hyperlink" Target="consultantplus://offline/ref=6446A28BD1415D0C9680B7C3A023725317B488C6929D2D414C6702321C8270C105C3E6238AD58A24E0C8C789EE8DFDD75547F721EC06DFEC85F87A76T0f9F" TargetMode="External"/><Relationship Id="rId32" Type="http://schemas.openxmlformats.org/officeDocument/2006/relationships/hyperlink" Target="consultantplus://offline/ref=6446A28BD1415D0C9680B7C3A023725317B488C6929D2D414C6702321C8270C105C3E6238AD58A24E0C8C788E88DFDD75547F721EC06DFEC85F87A76T0f9F" TargetMode="External"/><Relationship Id="rId37" Type="http://schemas.openxmlformats.org/officeDocument/2006/relationships/hyperlink" Target="consultantplus://offline/ref=6446A28BD1415D0C9680A9CEB64F2E5B15BCD3C89B9926101035046543D276945783B87ACB979925E1D6C589EBT8f5F" TargetMode="External"/><Relationship Id="rId40" Type="http://schemas.openxmlformats.org/officeDocument/2006/relationships/hyperlink" Target="consultantplus://offline/ref=6446A28BD1415D0C9680B7C3A023725317B488C6929E29454B6502321C8270C105C3E6238AD58A24E0C8C788E98DFDD75547F721EC06DFEC85F87A76T0f9F" TargetMode="External"/><Relationship Id="rId45" Type="http://schemas.openxmlformats.org/officeDocument/2006/relationships/hyperlink" Target="consultantplus://offline/ref=6446A28BD1415D0C9680B7C3A023725317B488C6929D2D414C6702321C8270C105C3E6238AD58A24E0C8C788EC8DFDD75547F721EC06DFEC85F87A76T0f9F" TargetMode="External"/><Relationship Id="rId53" Type="http://schemas.openxmlformats.org/officeDocument/2006/relationships/hyperlink" Target="consultantplus://offline/ref=6446A28BD1415D0C9680A9CEB64F2E5B13B9D5CB90937B1A186C086744DD298342CAEC77C990812DEB9C96CDBC8BAB800F12FB3DE818DDTEfEF" TargetMode="External"/><Relationship Id="rId58" Type="http://schemas.openxmlformats.org/officeDocument/2006/relationships/hyperlink" Target="consultantplus://offline/ref=6446A28BD1415D0C9680B7C3A023725317B488C6929B2E444D6102321C8270C105C3E6238AD58A24E0C8C789E18DFDD75547F721EC06DFEC85F87A76T0f9F" TargetMode="External"/><Relationship Id="rId66" Type="http://schemas.openxmlformats.org/officeDocument/2006/relationships/hyperlink" Target="consultantplus://offline/ref=6446A28BD1415D0C9680B7C3A023725317B488C696992F45486A5F3814DB7CC302CCB9268DC48A27E6D6C788F784A984T1f2F" TargetMode="External"/><Relationship Id="rId74" Type="http://schemas.openxmlformats.org/officeDocument/2006/relationships/hyperlink" Target="consultantplus://offline/ref=6446A28BD1415D0C9680B7C3A023725317B488C692992C424D6302321C8270C105C3E6238AD58A24E0C8C788EF8DFDD75547F721EC06DFEC85F87A76T0f9F" TargetMode="External"/><Relationship Id="rId5" Type="http://schemas.openxmlformats.org/officeDocument/2006/relationships/hyperlink" Target="consultantplus://offline/ref=6446A28BD1415D0C9680B7C3A023725317B488C6969C2B44486A5F3814DB7CC302CCB9348D9C8625E0C8C78CE2D2F8C2441FF825F418DEF399FA78T7f7F" TargetMode="External"/><Relationship Id="rId15" Type="http://schemas.openxmlformats.org/officeDocument/2006/relationships/hyperlink" Target="consultantplus://offline/ref=6446A28BD1415D0C9680B7C3A023725317B488C692992B4E446302321C8270C105C3E6238AD58A24E0C8C789EC8DFDD75547F721EC06DFEC85F87A76T0f9F" TargetMode="External"/><Relationship Id="rId23" Type="http://schemas.openxmlformats.org/officeDocument/2006/relationships/hyperlink" Target="consultantplus://offline/ref=6446A28BD1415D0C9680B7C3A023725317B488C692982B454B6002321C8270C105C3E6238AD58A24E0C8C789EE8DFDD75547F721EC06DFEC85F87A76T0f9F" TargetMode="External"/><Relationship Id="rId28" Type="http://schemas.openxmlformats.org/officeDocument/2006/relationships/hyperlink" Target="consultantplus://offline/ref=6446A28BD1415D0C9680B7C3A023725317B488C692982B454B6002321C8270C105C3E6238AD58A24E0C8C789E18DFDD75547F721EC06DFEC85F87A76T0f9F" TargetMode="External"/><Relationship Id="rId36" Type="http://schemas.openxmlformats.org/officeDocument/2006/relationships/hyperlink" Target="consultantplus://offline/ref=6446A28BD1415D0C9680A9CEB64F2E5B15BDD4C9959F26101035046543D276945783B87ACB979925E1D6C589EBT8f5F" TargetMode="External"/><Relationship Id="rId49" Type="http://schemas.openxmlformats.org/officeDocument/2006/relationships/hyperlink" Target="consultantplus://offline/ref=6446A28BD1415D0C9680B7C3A023725317B488C6929D2D414C6702321C8270C105C3E6238AD58A24E0C8C78BED8DFDD75547F721EC06DFEC85F87A76T0f9F" TargetMode="External"/><Relationship Id="rId57" Type="http://schemas.openxmlformats.org/officeDocument/2006/relationships/hyperlink" Target="consultantplus://offline/ref=6446A28BD1415D0C9680B7C3A023725317B488C692992C424D6302321C8270C105C3E6238AD58A24E0C8C788E98DFDD75547F721EC06DFEC85F87A76T0f9F" TargetMode="External"/><Relationship Id="rId61" Type="http://schemas.openxmlformats.org/officeDocument/2006/relationships/hyperlink" Target="consultantplus://offline/ref=6446A28BD1415D0C9680B6DBB34F2E5B13BED7CA98CE711241600A604B822C8453CAEF71D791863BE2C8C5T8fAF" TargetMode="External"/><Relationship Id="rId10" Type="http://schemas.openxmlformats.org/officeDocument/2006/relationships/hyperlink" Target="consultantplus://offline/ref=6446A28BD1415D0C9680B7C3A023725317B488C695902F454A6A5F3814DB7CC302CCB9348D9C8625E0C8C78CE2D2F8C2441FF825F418DEF399FA78T7f7F" TargetMode="External"/><Relationship Id="rId19" Type="http://schemas.openxmlformats.org/officeDocument/2006/relationships/hyperlink" Target="consultantplus://offline/ref=6446A28BD1415D0C9680A9CEB64F2E5B15BFD4C99B9A26101035046543D276944583E076C9928325E0C393D8ADD3A484170CFA22F41ADFEFT9f8F" TargetMode="External"/><Relationship Id="rId31" Type="http://schemas.openxmlformats.org/officeDocument/2006/relationships/hyperlink" Target="consultantplus://offline/ref=6446A28BD1415D0C9680B7C3A023725317B488C6929B2E444D6102321C8270C105C3E6238AD58A24E0C8C789EC8DFDD75547F721EC06DFEC85F87A76T0f9F" TargetMode="External"/><Relationship Id="rId44" Type="http://schemas.openxmlformats.org/officeDocument/2006/relationships/hyperlink" Target="consultantplus://offline/ref=6446A28BD1415D0C9680A9CEB64F2E5B15BCD7C2949826101035046543D276944583E072CA988C71B18C9284EB80B786100CF823E8T1fBF" TargetMode="External"/><Relationship Id="rId52" Type="http://schemas.openxmlformats.org/officeDocument/2006/relationships/hyperlink" Target="consultantplus://offline/ref=6446A28BD1415D0C9680B7C3A023725317B488C692992B4E446302321C8270C105C3E6238AD58A24E0C8C789E18DFDD75547F721EC06DFEC85F87A76T0f9F" TargetMode="External"/><Relationship Id="rId60" Type="http://schemas.openxmlformats.org/officeDocument/2006/relationships/hyperlink" Target="consultantplus://offline/ref=6446A28BD1415D0C9680B7C3A023725317B488C6929D2D414C6702321C8270C105C3E6238AD58A24E0C8C78AE98DFDD75547F721EC06DFEC85F87A76T0f9F" TargetMode="External"/><Relationship Id="rId65" Type="http://schemas.openxmlformats.org/officeDocument/2006/relationships/hyperlink" Target="consultantplus://offline/ref=6446A28BD1415D0C9680AADBAF4F2E5B10BBD5C898CE711241600A604B822C8453CAEF71D791863BE2C8C5T8fAF" TargetMode="External"/><Relationship Id="rId73" Type="http://schemas.openxmlformats.org/officeDocument/2006/relationships/hyperlink" Target="consultantplus://offline/ref=6446A28BD1415D0C9680B7C3A023725317B488C6929D2D414C6702321C8270C105C3E6238AD58A24E0C8C78AEC8DFDD75547F721EC06DFEC85F87A76T0f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6A28BD1415D0C9680B7C3A023725317B488C6959E29424D6A5F3814DB7CC302CCB9348D9C8625E0C8C78CE2D2F8C2441FF825F418DEF399FA78T7f7F" TargetMode="External"/><Relationship Id="rId14" Type="http://schemas.openxmlformats.org/officeDocument/2006/relationships/hyperlink" Target="consultantplus://offline/ref=6446A28BD1415D0C9680B7C3A023725317B488C692992C424D6302321C8270C105C3E6238AD58A24E0C8C789EC8DFDD75547F721EC06DFEC85F87A76T0f9F" TargetMode="External"/><Relationship Id="rId22" Type="http://schemas.openxmlformats.org/officeDocument/2006/relationships/hyperlink" Target="consultantplus://offline/ref=6446A28BD1415D0C9680B7C3A023725317B488C692982B454B6002321C8270C105C3E6238AD58A24E0C8C789EF8DFDD75547F721EC06DFEC85F87A76T0f9F" TargetMode="External"/><Relationship Id="rId27" Type="http://schemas.openxmlformats.org/officeDocument/2006/relationships/hyperlink" Target="consultantplus://offline/ref=6446A28BD1415D0C9680B7C3A023725317B488C69A9E2B4F4C6A5F3814DB7CC302CCB9348D9C8625E0C8C78CE2D2F8C2441FF825F418DEF399FA78T7f7F" TargetMode="External"/><Relationship Id="rId30" Type="http://schemas.openxmlformats.org/officeDocument/2006/relationships/hyperlink" Target="consultantplus://offline/ref=6446A28BD1415D0C9680B7C3A023725317B488C692992B4E446302321C8270C105C3E6238AD58A24E0C8C789EC8DFDD75547F721EC06DFEC85F87A76T0f9F" TargetMode="External"/><Relationship Id="rId35" Type="http://schemas.openxmlformats.org/officeDocument/2006/relationships/hyperlink" Target="consultantplus://offline/ref=6446A28BD1415D0C9680A9CEB64F2E5B15BEDECA959F26101035046543D276945783B87ACB979925E1D6C589EBT8f5F" TargetMode="External"/><Relationship Id="rId43" Type="http://schemas.openxmlformats.org/officeDocument/2006/relationships/hyperlink" Target="consultantplus://offline/ref=6446A28BD1415D0C9680B7C3A023725317B488C6929E2940446402321C8270C105C3E6238AD58A24E0C8C788E98DFDD75547F721EC06DFEC85F87A76T0f9F" TargetMode="External"/><Relationship Id="rId48" Type="http://schemas.openxmlformats.org/officeDocument/2006/relationships/hyperlink" Target="consultantplus://offline/ref=6446A28BD1415D0C9680B7C3A023725317B488C6929B2E444D6102321C8270C105C3E6238AD58A24E0C8C789EF8DFDD75547F721EC06DFEC85F87A76T0f9F" TargetMode="External"/><Relationship Id="rId56" Type="http://schemas.openxmlformats.org/officeDocument/2006/relationships/hyperlink" Target="consultantplus://offline/ref=6446A28BD1415D0C9680B7C3A023725317B488C6929D2D414C6702321C8270C105C3E6238AD58A24E0C8C78BE08DFDD75547F721EC06DFEC85F87A76T0f9F" TargetMode="External"/><Relationship Id="rId64" Type="http://schemas.openxmlformats.org/officeDocument/2006/relationships/hyperlink" Target="consultantplus://offline/ref=6446A28BD1415D0C9680B7C3A023725317B488C6929D2D414C6702321C8270C105C3E6238AD58A24E0C8C78AEB8DFDD75547F721EC06DFEC85F87A76T0f9F" TargetMode="External"/><Relationship Id="rId69" Type="http://schemas.openxmlformats.org/officeDocument/2006/relationships/hyperlink" Target="consultantplus://offline/ref=6446A28BD1415D0C9680B7C3A023725317B488C692992C424D6302321C8270C105C3E6238AD58A24E0C8C788ED8DFDD75547F721EC06DFEC85F87A76T0f9F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6446A28BD1415D0C9680B7C3A023725317B488C6959D2A4F4F6A5F3814DB7CC302CCB9348D9C8625E0C8C78CE2D2F8C2441FF825F418DEF399FA78T7f7F" TargetMode="External"/><Relationship Id="rId51" Type="http://schemas.openxmlformats.org/officeDocument/2006/relationships/hyperlink" Target="consultantplus://offline/ref=6446A28BD1415D0C9680B7C3A023725317B488C692992C424D6302321C8270C105C3E6238AD58A24E0C8C789EE8DFDD75547F721EC06DFEC85F87A76T0f9F" TargetMode="External"/><Relationship Id="rId72" Type="http://schemas.openxmlformats.org/officeDocument/2006/relationships/hyperlink" Target="consultantplus://offline/ref=6446A28BD1415D0C9680B7C3A023725317B488C6929D2D414C6702321C8270C105C3E6238AD58A24E0C8C78AED8DFDD75547F721EC06DFEC85F87A76T0f9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46A28BD1415D0C9680B7C3A023725317B488C69A9E2B4F4C6A5F3814DB7CC302CCB9348D9C8625E0C8C78CE2D2F8C2441FF825F418DEF399FA78T7f7F" TargetMode="External"/><Relationship Id="rId17" Type="http://schemas.openxmlformats.org/officeDocument/2006/relationships/hyperlink" Target="consultantplus://offline/ref=6446A28BD1415D0C9680B7C3A023725317B488C6929D2D414C6702321C8270C105C3E6238AD58A24E0C8C789EC8DFDD75547F721EC06DFEC85F87A76T0f9F" TargetMode="External"/><Relationship Id="rId25" Type="http://schemas.openxmlformats.org/officeDocument/2006/relationships/hyperlink" Target="consultantplus://offline/ref=6446A28BD1415D0C9680B7C3A023725317B488C6929D2D414C6702321C8270C105C3E6238AD58A24E0C8C789E08DFDD75547F721EC06DFEC85F87A76T0f9F" TargetMode="External"/><Relationship Id="rId33" Type="http://schemas.openxmlformats.org/officeDocument/2006/relationships/hyperlink" Target="consultantplus://offline/ref=6446A28BD1415D0C9680A9CEB64F2E5B15BFD4C99B9A26101035046543D276945783B87ACB979925E1D6C589EBT8f5F" TargetMode="External"/><Relationship Id="rId38" Type="http://schemas.openxmlformats.org/officeDocument/2006/relationships/hyperlink" Target="consultantplus://offline/ref=6446A28BD1415D0C9680B7C3A023725317B488C6929D2D414C6702321C8270C105C3E6238AD58A24E0C8C788EB8DFDD75547F721EC06DFEC85F87A76T0f9F" TargetMode="External"/><Relationship Id="rId46" Type="http://schemas.openxmlformats.org/officeDocument/2006/relationships/hyperlink" Target="consultantplus://offline/ref=6446A28BD1415D0C9680B7C3A023725317B488C6929D2D414C6702321C8270C105C3E6238AD58A24E0C8C788EE8DFDD75547F721EC06DFEC85F87A76T0f9F" TargetMode="External"/><Relationship Id="rId59" Type="http://schemas.openxmlformats.org/officeDocument/2006/relationships/hyperlink" Target="consultantplus://offline/ref=6446A28BD1415D0C9680B7C3A023725317B488C6929B2E444D6102321C8270C105C3E6238AD58A24E0C8C789E08DFDD75547F721EC06DFEC85F87A76T0f9F" TargetMode="External"/><Relationship Id="rId67" Type="http://schemas.openxmlformats.org/officeDocument/2006/relationships/hyperlink" Target="consultantplus://offline/ref=6446A28BD1415D0C9680B7C3A023725317B488C692992C424D6302321C8270C105C3E6238AD58A24E0C8C788E88DFDD75547F721EC06DFEC85F87A76T0f9F" TargetMode="External"/><Relationship Id="rId20" Type="http://schemas.openxmlformats.org/officeDocument/2006/relationships/hyperlink" Target="consultantplus://offline/ref=6446A28BD1415D0C9680A9CEB64F2E5B15BDD4C9969826101035046543D276944583E076C990862CE3C393D8ADD3A484170CFA22F41ADFEFT9f8F" TargetMode="External"/><Relationship Id="rId41" Type="http://schemas.openxmlformats.org/officeDocument/2006/relationships/hyperlink" Target="consultantplus://offline/ref=6446A28BD1415D0C9680B7C3A023725317B488C692992B4E446302321C8270C105C3E6238AD58A24E0C8C789EF8DFDD75547F721EC06DFEC85F87A76T0f9F" TargetMode="External"/><Relationship Id="rId54" Type="http://schemas.openxmlformats.org/officeDocument/2006/relationships/hyperlink" Target="consultantplus://offline/ref=6446A28BD1415D0C9680B7C3A023725317B488C692992B4E446302321C8270C105C3E6238AD58A24E0C8C789E08DFDD75547F721EC06DFEC85F87A76T0f9F" TargetMode="External"/><Relationship Id="rId62" Type="http://schemas.openxmlformats.org/officeDocument/2006/relationships/hyperlink" Target="consultantplus://offline/ref=6446A28BD1415D0C9680B6DBB34F2E5B13B7D3CC9B937B1A186C086744DD29914292E075CF8F8724FECAC78BTEfAF" TargetMode="External"/><Relationship Id="rId70" Type="http://schemas.openxmlformats.org/officeDocument/2006/relationships/hyperlink" Target="consultantplus://offline/ref=6446A28BD1415D0C9680B7C3A023725317B488C692992C424D6302321C8270C105C3E6238AD58A24E0C8C788ED8DFDD75547F721EC06DFEC85F87A76T0f9F" TargetMode="External"/><Relationship Id="rId75" Type="http://schemas.openxmlformats.org/officeDocument/2006/relationships/hyperlink" Target="consultantplus://offline/ref=6446A28BD1415D0C9680B7C3A023725317B488C6929D2D414C6702321C8270C105C3E6238AD58A24E0C8C78AEF8DFDD75547F721EC06DFEC85F87A76T0f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A28BD1415D0C9680B7C3A023725317B488C6969E2E454F6A5F3814DB7CC302CCB9348D9C8625E0C8C78CE2D2F8C2441FF825F418DEF399FA78T7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10765</Words>
  <Characters>61362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Липатова Светлана Вячеславовна</dc:creator>
  <cp:lastModifiedBy>Липатова Светлана Вячеславовна</cp:lastModifiedBy>
  <cp:revision>1</cp:revision>
  <dcterms:created xsi:type="dcterms:W3CDTF">2023-01-26T05:31:00Z</dcterms:created>
  <dcterms:modified xsi:type="dcterms:W3CDTF">2023-01-26T05:34:00Z</dcterms:modified>
</cp:coreProperties>
</file>