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8B62FA" w:rsidRDefault="00D54A9C" w:rsidP="008B62FA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</w:p>
    <w:p w:rsidR="00D54A9C" w:rsidRPr="008B62FA" w:rsidRDefault="00536498" w:rsidP="008B62FA">
      <w:pPr>
        <w:autoSpaceDE w:val="0"/>
        <w:autoSpaceDN w:val="0"/>
        <w:adjustRightInd w:val="0"/>
        <w:spacing w:after="24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 xml:space="preserve">городского округа Тольятти </w:t>
      </w:r>
    </w:p>
    <w:p w:rsidR="00FE15BE" w:rsidRPr="00D673DE" w:rsidRDefault="00D54A9C" w:rsidP="000311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D673DE">
        <w:rPr>
          <w:sz w:val="24"/>
          <w:szCs w:val="24"/>
          <w:u w:val="none"/>
        </w:rPr>
        <w:t xml:space="preserve">Настоящим </w:t>
      </w:r>
      <w:r w:rsidR="002B4289">
        <w:rPr>
          <w:sz w:val="24"/>
          <w:szCs w:val="24"/>
          <w:u w:val="none"/>
        </w:rPr>
        <w:t>правовой де</w:t>
      </w:r>
      <w:r w:rsidR="00966AE0">
        <w:rPr>
          <w:sz w:val="24"/>
          <w:szCs w:val="24"/>
          <w:u w:val="none"/>
        </w:rPr>
        <w:t>партамент</w:t>
      </w:r>
      <w:r w:rsidR="002B4289">
        <w:rPr>
          <w:sz w:val="24"/>
          <w:szCs w:val="24"/>
          <w:u w:val="none"/>
        </w:rPr>
        <w:t>, управление потребительского рынка</w:t>
      </w:r>
      <w:r w:rsidR="000A5617">
        <w:rPr>
          <w:sz w:val="24"/>
          <w:szCs w:val="24"/>
          <w:u w:val="none"/>
        </w:rPr>
        <w:t xml:space="preserve"> </w:t>
      </w:r>
      <w:r w:rsidR="00E240C1" w:rsidRPr="00D673DE">
        <w:rPr>
          <w:sz w:val="24"/>
          <w:szCs w:val="24"/>
          <w:u w:val="none"/>
        </w:rPr>
        <w:t>администрац</w:t>
      </w:r>
      <w:r w:rsidR="008D4413" w:rsidRPr="00D673DE">
        <w:rPr>
          <w:sz w:val="24"/>
          <w:szCs w:val="24"/>
          <w:u w:val="none"/>
        </w:rPr>
        <w:t>ии городского округа Тольятти</w:t>
      </w:r>
      <w:r w:rsidR="000A5617">
        <w:rPr>
          <w:sz w:val="24"/>
          <w:szCs w:val="24"/>
          <w:u w:val="none"/>
        </w:rPr>
        <w:t xml:space="preserve"> </w:t>
      </w:r>
      <w:r w:rsidR="00281036" w:rsidRPr="00D673DE">
        <w:rPr>
          <w:sz w:val="24"/>
          <w:szCs w:val="24"/>
          <w:u w:val="none"/>
        </w:rPr>
        <w:t xml:space="preserve">уведомляет </w:t>
      </w:r>
      <w:r w:rsidRPr="00D673DE">
        <w:rPr>
          <w:sz w:val="24"/>
          <w:szCs w:val="24"/>
          <w:u w:val="none"/>
        </w:rPr>
        <w:t xml:space="preserve">о </w:t>
      </w:r>
      <w:r w:rsidR="00281036" w:rsidRPr="00D673DE">
        <w:rPr>
          <w:sz w:val="24"/>
          <w:szCs w:val="24"/>
          <w:u w:val="none"/>
        </w:rPr>
        <w:t>приеме предложений по проекту</w:t>
      </w:r>
      <w:r w:rsidR="000A5617">
        <w:rPr>
          <w:sz w:val="24"/>
          <w:szCs w:val="24"/>
          <w:u w:val="none"/>
        </w:rPr>
        <w:t xml:space="preserve"> </w:t>
      </w:r>
      <w:r w:rsidR="00966AE0">
        <w:rPr>
          <w:sz w:val="24"/>
          <w:szCs w:val="24"/>
          <w:u w:val="none"/>
        </w:rPr>
        <w:t>решения думы</w:t>
      </w:r>
      <w:r w:rsidR="000311CE">
        <w:rPr>
          <w:sz w:val="24"/>
          <w:szCs w:val="24"/>
          <w:u w:val="none"/>
        </w:rPr>
        <w:t xml:space="preserve"> </w:t>
      </w:r>
      <w:r w:rsidR="008D4413" w:rsidRPr="00D673DE">
        <w:rPr>
          <w:sz w:val="24"/>
          <w:szCs w:val="24"/>
          <w:u w:val="none"/>
        </w:rPr>
        <w:t>городского округа Тольятти</w:t>
      </w:r>
      <w:r w:rsidR="00AF0A98">
        <w:rPr>
          <w:sz w:val="24"/>
          <w:szCs w:val="24"/>
          <w:u w:val="none"/>
        </w:rPr>
        <w:t xml:space="preserve"> </w:t>
      </w:r>
      <w:r w:rsidR="00DA3AF8">
        <w:rPr>
          <w:sz w:val="24"/>
          <w:szCs w:val="24"/>
          <w:u w:val="none"/>
        </w:rPr>
        <w:t>«</w:t>
      </w:r>
      <w:r w:rsidR="00DA3AF8" w:rsidRPr="00DA3AF8">
        <w:rPr>
          <w:sz w:val="24"/>
          <w:szCs w:val="24"/>
          <w:u w:val="none"/>
        </w:rPr>
        <w:t>О внесении изменений в решение Думы городского округа Тольятти от 07.06.2017 N 1473 "Об определении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</w:t>
      </w:r>
      <w:proofErr w:type="gramEnd"/>
      <w:r w:rsidR="00DA3AF8" w:rsidRPr="00DA3AF8">
        <w:rPr>
          <w:sz w:val="24"/>
          <w:szCs w:val="24"/>
          <w:u w:val="none"/>
        </w:rPr>
        <w:t>, а также на землях или земельных участках, государственная собственность на которые не разграничена, на территории городского округа Тольятти"</w:t>
      </w:r>
      <w:r w:rsidR="00DA3AF8">
        <w:rPr>
          <w:sz w:val="24"/>
          <w:szCs w:val="24"/>
          <w:u w:val="none"/>
        </w:rPr>
        <w:t>»</w:t>
      </w:r>
      <w:r w:rsidR="00DB034D" w:rsidRPr="00D673DE">
        <w:rPr>
          <w:sz w:val="24"/>
          <w:szCs w:val="24"/>
          <w:u w:val="none"/>
        </w:rPr>
        <w:t>.</w:t>
      </w:r>
    </w:p>
    <w:p w:rsidR="00D54A9C" w:rsidRPr="00D102B4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proofErr w:type="spellStart"/>
      <w:r w:rsidR="008D4413">
        <w:rPr>
          <w:sz w:val="24"/>
          <w:szCs w:val="24"/>
          <w:u w:val="none"/>
        </w:rPr>
        <w:t>г.Тольятти</w:t>
      </w:r>
      <w:proofErr w:type="spellEnd"/>
      <w:r w:rsidR="008D4413">
        <w:rPr>
          <w:sz w:val="24"/>
          <w:szCs w:val="24"/>
          <w:u w:val="none"/>
        </w:rPr>
        <w:t xml:space="preserve">, </w:t>
      </w:r>
      <w:r w:rsidR="00966AE0">
        <w:rPr>
          <w:sz w:val="24"/>
          <w:szCs w:val="24"/>
          <w:u w:val="none"/>
        </w:rPr>
        <w:t>Площадь Свободы</w:t>
      </w:r>
      <w:r w:rsidR="008D4413">
        <w:rPr>
          <w:sz w:val="24"/>
          <w:szCs w:val="24"/>
          <w:u w:val="none"/>
        </w:rPr>
        <w:t xml:space="preserve">, </w:t>
      </w:r>
      <w:r w:rsidR="00966AE0">
        <w:rPr>
          <w:sz w:val="24"/>
          <w:szCs w:val="24"/>
          <w:u w:val="none"/>
        </w:rPr>
        <w:t>4</w:t>
      </w:r>
      <w:r w:rsidR="008D4413">
        <w:rPr>
          <w:sz w:val="24"/>
          <w:szCs w:val="24"/>
          <w:u w:val="none"/>
        </w:rPr>
        <w:t xml:space="preserve">, </w:t>
      </w:r>
      <w:r w:rsidR="00DA3AF8">
        <w:rPr>
          <w:sz w:val="24"/>
          <w:szCs w:val="24"/>
          <w:u w:val="none"/>
        </w:rPr>
        <w:t xml:space="preserve">      </w:t>
      </w:r>
      <w:r w:rsidR="008D4413">
        <w:rPr>
          <w:sz w:val="24"/>
          <w:szCs w:val="24"/>
          <w:u w:val="none"/>
        </w:rPr>
        <w:t xml:space="preserve">кабинет </w:t>
      </w:r>
      <w:r w:rsidR="00966AE0">
        <w:rPr>
          <w:sz w:val="24"/>
          <w:szCs w:val="24"/>
          <w:u w:val="none"/>
        </w:rPr>
        <w:t>21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9" w:history="1">
        <w:r w:rsidR="00966AE0" w:rsidRPr="00E3183A">
          <w:rPr>
            <w:rStyle w:val="a7"/>
            <w:sz w:val="24"/>
            <w:szCs w:val="24"/>
            <w:lang w:val="en-US"/>
          </w:rPr>
          <w:t>balotnikov</w:t>
        </w:r>
        <w:r w:rsidR="00966AE0" w:rsidRPr="00E3183A">
          <w:rPr>
            <w:rStyle w:val="a7"/>
            <w:sz w:val="24"/>
            <w:szCs w:val="24"/>
          </w:rPr>
          <w:t>.</w:t>
        </w:r>
        <w:r w:rsidR="00966AE0" w:rsidRPr="00E3183A">
          <w:rPr>
            <w:rStyle w:val="a7"/>
            <w:sz w:val="24"/>
            <w:szCs w:val="24"/>
            <w:lang w:val="en-US"/>
          </w:rPr>
          <w:t>ss</w:t>
        </w:r>
        <w:r w:rsidR="00966AE0" w:rsidRPr="00E3183A">
          <w:rPr>
            <w:rStyle w:val="a7"/>
            <w:sz w:val="24"/>
            <w:szCs w:val="24"/>
          </w:rPr>
          <w:t>@</w:t>
        </w:r>
        <w:r w:rsidR="00966AE0" w:rsidRPr="00E3183A">
          <w:rPr>
            <w:rStyle w:val="a7"/>
            <w:sz w:val="24"/>
            <w:szCs w:val="24"/>
            <w:lang w:val="en-US"/>
          </w:rPr>
          <w:t>tgl</w:t>
        </w:r>
        <w:r w:rsidR="00966AE0" w:rsidRPr="00E3183A">
          <w:rPr>
            <w:rStyle w:val="a7"/>
            <w:sz w:val="24"/>
            <w:szCs w:val="24"/>
          </w:rPr>
          <w:t>.</w:t>
        </w:r>
        <w:r w:rsidR="00966AE0" w:rsidRPr="00E3183A">
          <w:rPr>
            <w:rStyle w:val="a7"/>
            <w:sz w:val="24"/>
            <w:szCs w:val="24"/>
            <w:lang w:val="en-US"/>
          </w:rPr>
          <w:t>ru</w:t>
        </w:r>
      </w:hyperlink>
      <w:r w:rsidR="00966AE0" w:rsidRPr="00966AE0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(</w:t>
      </w:r>
      <w:r w:rsidR="00966AE0">
        <w:rPr>
          <w:sz w:val="24"/>
          <w:szCs w:val="24"/>
          <w:u w:val="none"/>
        </w:rPr>
        <w:t>Балотников Сергей Сергеевич</w:t>
      </w:r>
      <w:r w:rsidR="008D4413">
        <w:rPr>
          <w:sz w:val="24"/>
          <w:szCs w:val="24"/>
          <w:u w:val="none"/>
        </w:rPr>
        <w:t>)</w:t>
      </w:r>
      <w:r w:rsidR="000255F6" w:rsidRPr="00EF561E">
        <w:rPr>
          <w:u w:val="none"/>
        </w:rPr>
        <w:t>,</w:t>
      </w:r>
      <w:r w:rsidR="00966AE0">
        <w:t xml:space="preserve"> </w:t>
      </w:r>
      <w:r w:rsidR="000255F6">
        <w:rPr>
          <w:sz w:val="24"/>
          <w:szCs w:val="24"/>
          <w:u w:val="none"/>
        </w:rPr>
        <w:t>к</w:t>
      </w:r>
      <w:r w:rsidR="000255F6" w:rsidRPr="000255F6">
        <w:rPr>
          <w:sz w:val="24"/>
          <w:szCs w:val="24"/>
          <w:u w:val="none"/>
        </w:rPr>
        <w:t xml:space="preserve">онтактный телефон: (8482) 54 </w:t>
      </w:r>
      <w:r w:rsidR="00966AE0">
        <w:rPr>
          <w:sz w:val="24"/>
          <w:szCs w:val="24"/>
          <w:u w:val="none"/>
        </w:rPr>
        <w:t>34</w:t>
      </w:r>
      <w:r w:rsidR="000255F6" w:rsidRPr="000255F6">
        <w:rPr>
          <w:sz w:val="24"/>
          <w:szCs w:val="24"/>
          <w:u w:val="none"/>
        </w:rPr>
        <w:t xml:space="preserve"> </w:t>
      </w:r>
      <w:r w:rsidR="00966AE0">
        <w:rPr>
          <w:sz w:val="24"/>
          <w:szCs w:val="24"/>
          <w:u w:val="none"/>
        </w:rPr>
        <w:t>98</w:t>
      </w:r>
      <w:r w:rsidR="00EF561E">
        <w:rPr>
          <w:sz w:val="24"/>
          <w:szCs w:val="24"/>
          <w:u w:val="none"/>
        </w:rPr>
        <w:t>.</w:t>
      </w:r>
    </w:p>
    <w:p w:rsidR="00D54A9C" w:rsidRPr="00D102B4" w:rsidRDefault="00D54A9C" w:rsidP="000311C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</w:t>
      </w:r>
      <w:r w:rsidR="00BD7B8F" w:rsidRPr="00D102B4">
        <w:rPr>
          <w:sz w:val="24"/>
          <w:szCs w:val="24"/>
          <w:u w:val="none"/>
        </w:rPr>
        <w:t xml:space="preserve">предложений </w:t>
      </w:r>
      <w:r w:rsidR="002B4289">
        <w:rPr>
          <w:sz w:val="24"/>
          <w:szCs w:val="24"/>
          <w:u w:val="none"/>
        </w:rPr>
        <w:t xml:space="preserve">с 01.03.2023 </w:t>
      </w:r>
      <w:r w:rsidR="00BD7B8F">
        <w:rPr>
          <w:sz w:val="24"/>
          <w:szCs w:val="24"/>
          <w:u w:val="none"/>
        </w:rPr>
        <w:t>до</w:t>
      </w:r>
      <w:r w:rsidR="00966AE0">
        <w:rPr>
          <w:sz w:val="24"/>
          <w:szCs w:val="24"/>
          <w:u w:val="none"/>
        </w:rPr>
        <w:t xml:space="preserve">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100C26">
        <w:rPr>
          <w:sz w:val="24"/>
          <w:szCs w:val="24"/>
          <w:u w:val="none"/>
        </w:rPr>
        <w:t>1</w:t>
      </w:r>
      <w:r w:rsidR="00A32E72">
        <w:rPr>
          <w:sz w:val="24"/>
          <w:szCs w:val="24"/>
          <w:u w:val="none"/>
        </w:rPr>
        <w:t>5</w:t>
      </w:r>
      <w:r w:rsidR="00CE3C76">
        <w:rPr>
          <w:sz w:val="24"/>
          <w:szCs w:val="24"/>
          <w:u w:val="none"/>
        </w:rPr>
        <w:t>.</w:t>
      </w:r>
      <w:r w:rsidR="00100C26">
        <w:rPr>
          <w:sz w:val="24"/>
          <w:szCs w:val="24"/>
          <w:u w:val="none"/>
        </w:rPr>
        <w:t>03</w:t>
      </w:r>
      <w:r w:rsidR="00CE3C76">
        <w:rPr>
          <w:sz w:val="24"/>
          <w:szCs w:val="24"/>
          <w:u w:val="none"/>
        </w:rPr>
        <w:t>.20</w:t>
      </w:r>
      <w:r w:rsidR="00B4465F">
        <w:rPr>
          <w:sz w:val="24"/>
          <w:szCs w:val="24"/>
          <w:u w:val="none"/>
        </w:rPr>
        <w:t>2</w:t>
      </w:r>
      <w:r w:rsidR="00100C26">
        <w:rPr>
          <w:sz w:val="24"/>
          <w:szCs w:val="24"/>
          <w:u w:val="none"/>
        </w:rPr>
        <w:t>3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7F48DE">
        <w:rPr>
          <w:sz w:val="24"/>
          <w:szCs w:val="24"/>
          <w:u w:val="none"/>
        </w:rPr>
        <w:t xml:space="preserve"> </w:t>
      </w:r>
      <w:r w:rsidR="00100C26">
        <w:rPr>
          <w:sz w:val="24"/>
          <w:szCs w:val="24"/>
          <w:u w:val="none"/>
        </w:rPr>
        <w:t>март</w:t>
      </w:r>
      <w:r w:rsidR="002B4289">
        <w:rPr>
          <w:sz w:val="24"/>
          <w:szCs w:val="24"/>
          <w:u w:val="none"/>
        </w:rPr>
        <w:t xml:space="preserve"> </w:t>
      </w:r>
      <w:r w:rsidR="00CE3C76">
        <w:rPr>
          <w:sz w:val="24"/>
          <w:szCs w:val="24"/>
          <w:u w:val="none"/>
        </w:rPr>
        <w:t>20</w:t>
      </w:r>
      <w:r w:rsidR="00B4465F">
        <w:rPr>
          <w:sz w:val="24"/>
          <w:szCs w:val="24"/>
          <w:u w:val="none"/>
        </w:rPr>
        <w:t>2</w:t>
      </w:r>
      <w:r w:rsidR="00100C26">
        <w:rPr>
          <w:sz w:val="24"/>
          <w:szCs w:val="24"/>
          <w:u w:val="none"/>
        </w:rPr>
        <w:t>3</w:t>
      </w:r>
      <w:r w:rsidR="00CE3C76">
        <w:rPr>
          <w:sz w:val="24"/>
          <w:szCs w:val="24"/>
          <w:u w:val="none"/>
        </w:rPr>
        <w:t>г.</w:t>
      </w:r>
    </w:p>
    <w:p w:rsidR="00537E5C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 w:rsidRPr="00340DD4">
        <w:rPr>
          <w:sz w:val="24"/>
          <w:szCs w:val="24"/>
          <w:u w:val="none"/>
        </w:rPr>
        <w:t>:</w:t>
      </w:r>
      <w:r w:rsidR="003C0BA2">
        <w:rPr>
          <w:sz w:val="24"/>
          <w:szCs w:val="24"/>
          <w:u w:val="none"/>
        </w:rPr>
        <w:t xml:space="preserve"> принятие порядка </w:t>
      </w:r>
      <w:r w:rsidR="003C0BA2" w:rsidRPr="00966AE0">
        <w:rPr>
          <w:sz w:val="24"/>
          <w:szCs w:val="24"/>
          <w:u w:val="none"/>
        </w:rPr>
        <w:t>определения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на территории городского округа Тольятти</w:t>
      </w:r>
      <w:r w:rsidR="00537E5C">
        <w:rPr>
          <w:rFonts w:eastAsia="Times New Roman"/>
          <w:sz w:val="24"/>
          <w:szCs w:val="24"/>
          <w:u w:val="none"/>
          <w:lang w:eastAsia="ar-SA"/>
        </w:rPr>
        <w:t>.</w:t>
      </w:r>
    </w:p>
    <w:p w:rsidR="00104A32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>Описание проблемы, на решение кот</w:t>
      </w:r>
      <w:bookmarkStart w:id="0" w:name="_GoBack"/>
      <w:bookmarkEnd w:id="0"/>
      <w:r w:rsidR="00D54A9C" w:rsidRPr="00614481">
        <w:rPr>
          <w:sz w:val="24"/>
          <w:szCs w:val="24"/>
          <w:u w:val="none"/>
        </w:rPr>
        <w:t xml:space="preserve">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</w:p>
    <w:p w:rsidR="00EF561E" w:rsidRPr="00EF561E" w:rsidRDefault="00EF561E" w:rsidP="00EF56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none"/>
        </w:rPr>
      </w:pPr>
      <w:r w:rsidRPr="00EF561E">
        <w:rPr>
          <w:sz w:val="24"/>
          <w:szCs w:val="24"/>
          <w:u w:val="none"/>
        </w:rPr>
        <w:t xml:space="preserve">В настоящее время в городском округе Тольятти вопрос определения размера платы, начальный размер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 регулируется решением Думы городского округа Тольятти от 07.06.2017 № 1473 (далее - </w:t>
      </w:r>
      <w:r w:rsidRPr="00EF561E">
        <w:rPr>
          <w:color w:val="000000"/>
          <w:sz w:val="24"/>
          <w:szCs w:val="24"/>
          <w:u w:val="none"/>
        </w:rPr>
        <w:t>Решение №1473).</w:t>
      </w:r>
      <w:r w:rsidRPr="00EF561E">
        <w:rPr>
          <w:sz w:val="24"/>
          <w:szCs w:val="24"/>
          <w:u w:val="none"/>
        </w:rPr>
        <w:t xml:space="preserve"> </w:t>
      </w:r>
    </w:p>
    <w:p w:rsidR="00EF561E" w:rsidRPr="00EF561E" w:rsidRDefault="00EF561E" w:rsidP="00EF561E">
      <w:pPr>
        <w:shd w:val="clear" w:color="auto" w:fill="FFFFFF"/>
        <w:ind w:firstLine="720"/>
        <w:jc w:val="both"/>
        <w:rPr>
          <w:color w:val="000000"/>
          <w:sz w:val="24"/>
          <w:szCs w:val="24"/>
          <w:u w:val="none"/>
        </w:rPr>
      </w:pPr>
      <w:r w:rsidRPr="00EF561E">
        <w:rPr>
          <w:color w:val="000000"/>
          <w:sz w:val="24"/>
          <w:szCs w:val="24"/>
          <w:u w:val="none"/>
        </w:rPr>
        <w:t xml:space="preserve">Решением Самарского областного суда от 22.11.2022 Решение №1473 признано недействующим со дня вступления в законную силу решения суда, в той мере, в какой оно предусматривает право лица на размещение нестационарного торгового объекта </w:t>
      </w:r>
      <w:r w:rsidRPr="00EF561E">
        <w:rPr>
          <w:i/>
          <w:iCs/>
          <w:color w:val="000000"/>
          <w:sz w:val="24"/>
          <w:szCs w:val="24"/>
          <w:u w:val="none"/>
        </w:rPr>
        <w:t>на земельных участках, находящихся в муниципальной собственности</w:t>
      </w:r>
      <w:r w:rsidRPr="00EF561E">
        <w:rPr>
          <w:color w:val="000000"/>
          <w:sz w:val="24"/>
          <w:szCs w:val="24"/>
          <w:u w:val="none"/>
        </w:rPr>
        <w:t xml:space="preserve"> городского округа Тольятти </w:t>
      </w:r>
      <w:r w:rsidRPr="00EF561E">
        <w:rPr>
          <w:i/>
          <w:iCs/>
          <w:color w:val="000000"/>
          <w:sz w:val="24"/>
          <w:szCs w:val="24"/>
          <w:u w:val="none"/>
        </w:rPr>
        <w:t>без проведения аукциона</w:t>
      </w:r>
      <w:r w:rsidRPr="00EF561E">
        <w:rPr>
          <w:color w:val="000000"/>
          <w:sz w:val="24"/>
          <w:szCs w:val="24"/>
          <w:u w:val="none"/>
        </w:rPr>
        <w:t xml:space="preserve"> в случаях и порядке, установленных подпунктом 1 пункта 1 данного Решения, </w:t>
      </w:r>
      <w:r w:rsidRPr="00EF561E">
        <w:rPr>
          <w:i/>
          <w:iCs/>
          <w:color w:val="000000"/>
          <w:sz w:val="24"/>
          <w:szCs w:val="24"/>
          <w:u w:val="none"/>
        </w:rPr>
        <w:t>в отсутствие методики</w:t>
      </w:r>
      <w:r w:rsidRPr="00EF561E">
        <w:rPr>
          <w:color w:val="000000"/>
          <w:sz w:val="24"/>
          <w:szCs w:val="24"/>
          <w:u w:val="none"/>
        </w:rPr>
        <w:t xml:space="preserve"> определения платы за размещение нестационарных торговых объектов на территории городского округа Тольятти Самарской области.</w:t>
      </w:r>
    </w:p>
    <w:p w:rsidR="00986689" w:rsidRPr="00EF561E" w:rsidRDefault="00EF561E" w:rsidP="00EF561E">
      <w:pPr>
        <w:jc w:val="both"/>
        <w:rPr>
          <w:sz w:val="24"/>
          <w:szCs w:val="24"/>
          <w:u w:val="none"/>
        </w:rPr>
      </w:pPr>
      <w:r w:rsidRPr="00EF561E">
        <w:rPr>
          <w:sz w:val="24"/>
          <w:szCs w:val="24"/>
          <w:u w:val="none"/>
        </w:rPr>
        <w:tab/>
        <w:t xml:space="preserve">В случае отказа апелляционной инстанцией в удовлетворении апелляционных жалоб, апелляционного представления и оставления решения суда первой инстанции без изменения, решение Самарского областного суда от 22.11.2022 вступит в законную силу, что повлечет возникновение ситуации, при которой будет отсутствовать правовое регулирование вопроса по определению размера </w:t>
      </w:r>
      <w:r w:rsidRPr="00EF561E">
        <w:rPr>
          <w:color w:val="000000"/>
          <w:sz w:val="24"/>
          <w:szCs w:val="24"/>
          <w:u w:val="none"/>
        </w:rPr>
        <w:t xml:space="preserve">платы по договору на </w:t>
      </w:r>
      <w:r w:rsidRPr="00EF561E">
        <w:rPr>
          <w:sz w:val="24"/>
          <w:szCs w:val="24"/>
          <w:u w:val="none"/>
        </w:rPr>
        <w:t xml:space="preserve">размещение нестационарного торгового объекта, заключаемому </w:t>
      </w:r>
      <w:r w:rsidRPr="00EF561E">
        <w:rPr>
          <w:i/>
          <w:iCs/>
          <w:sz w:val="24"/>
          <w:szCs w:val="24"/>
          <w:u w:val="none"/>
        </w:rPr>
        <w:t>без проведения аукциона</w:t>
      </w:r>
      <w:r w:rsidRPr="00EF561E">
        <w:rPr>
          <w:sz w:val="24"/>
          <w:szCs w:val="24"/>
          <w:u w:val="none"/>
        </w:rPr>
        <w:t xml:space="preserve"> на землях или земельных участках, находящихся </w:t>
      </w:r>
      <w:r w:rsidRPr="00EF561E">
        <w:rPr>
          <w:i/>
          <w:iCs/>
          <w:sz w:val="24"/>
          <w:szCs w:val="24"/>
          <w:u w:val="none"/>
        </w:rPr>
        <w:t>в муниципальной собственности</w:t>
      </w:r>
      <w:r w:rsidRPr="00EF561E">
        <w:rPr>
          <w:sz w:val="24"/>
          <w:szCs w:val="24"/>
          <w:u w:val="none"/>
        </w:rPr>
        <w:t>.</w:t>
      </w:r>
    </w:p>
    <w:p w:rsidR="00BE66E8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юридические лица</w:t>
      </w:r>
      <w:r w:rsidR="00966AE0">
        <w:rPr>
          <w:sz w:val="24"/>
          <w:szCs w:val="24"/>
          <w:u w:val="none"/>
        </w:rPr>
        <w:t xml:space="preserve"> и индивидуальные предприниматели.</w:t>
      </w:r>
    </w:p>
    <w:p w:rsidR="00D54A9C" w:rsidRPr="00614481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FE15BE" w:rsidRPr="00614481" w:rsidRDefault="0017235F" w:rsidP="000311C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FE15BE" w:rsidRPr="00614481" w:rsidSect="002B4289">
      <w:headerReference w:type="default" r:id="rId10"/>
      <w:pgSz w:w="11906" w:h="16838"/>
      <w:pgMar w:top="284" w:right="850" w:bottom="142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F9" w:rsidRDefault="000A54F9" w:rsidP="002B31BD">
      <w:r>
        <w:separator/>
      </w:r>
    </w:p>
  </w:endnote>
  <w:endnote w:type="continuationSeparator" w:id="0">
    <w:p w:rsidR="000A54F9" w:rsidRDefault="000A54F9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F9" w:rsidRDefault="000A54F9" w:rsidP="002B31BD">
      <w:r>
        <w:separator/>
      </w:r>
    </w:p>
  </w:footnote>
  <w:footnote w:type="continuationSeparator" w:id="0">
    <w:p w:rsidR="000A54F9" w:rsidRDefault="000A54F9" w:rsidP="002B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80" w:rsidRDefault="002E6E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9C"/>
    <w:rsid w:val="00004FD3"/>
    <w:rsid w:val="000249BA"/>
    <w:rsid w:val="000255F6"/>
    <w:rsid w:val="000311CE"/>
    <w:rsid w:val="00035405"/>
    <w:rsid w:val="000366D6"/>
    <w:rsid w:val="00051389"/>
    <w:rsid w:val="000528B6"/>
    <w:rsid w:val="000635D4"/>
    <w:rsid w:val="000669A8"/>
    <w:rsid w:val="0007040D"/>
    <w:rsid w:val="00070459"/>
    <w:rsid w:val="0008088A"/>
    <w:rsid w:val="00091956"/>
    <w:rsid w:val="000A54F9"/>
    <w:rsid w:val="000A5617"/>
    <w:rsid w:val="000B09E6"/>
    <w:rsid w:val="000E0B01"/>
    <w:rsid w:val="000E42FB"/>
    <w:rsid w:val="000F051A"/>
    <w:rsid w:val="000F4ECC"/>
    <w:rsid w:val="000F5CAC"/>
    <w:rsid w:val="00100C26"/>
    <w:rsid w:val="001025C7"/>
    <w:rsid w:val="00104A32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1F22"/>
    <w:rsid w:val="00243013"/>
    <w:rsid w:val="002555F9"/>
    <w:rsid w:val="00261A1C"/>
    <w:rsid w:val="00261B40"/>
    <w:rsid w:val="00267EC5"/>
    <w:rsid w:val="002748F6"/>
    <w:rsid w:val="00281036"/>
    <w:rsid w:val="00282603"/>
    <w:rsid w:val="00286A5D"/>
    <w:rsid w:val="00296383"/>
    <w:rsid w:val="002B31BD"/>
    <w:rsid w:val="002B4289"/>
    <w:rsid w:val="002D2075"/>
    <w:rsid w:val="002D761A"/>
    <w:rsid w:val="002E6E80"/>
    <w:rsid w:val="002F4FC3"/>
    <w:rsid w:val="0031565F"/>
    <w:rsid w:val="0033674D"/>
    <w:rsid w:val="00340DD4"/>
    <w:rsid w:val="00357781"/>
    <w:rsid w:val="0037477D"/>
    <w:rsid w:val="00397ADD"/>
    <w:rsid w:val="003B36D9"/>
    <w:rsid w:val="003C0BA2"/>
    <w:rsid w:val="003C4F8D"/>
    <w:rsid w:val="003D34D8"/>
    <w:rsid w:val="003E5D14"/>
    <w:rsid w:val="003E6CBA"/>
    <w:rsid w:val="003F039D"/>
    <w:rsid w:val="00411E65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1818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099"/>
    <w:rsid w:val="00536498"/>
    <w:rsid w:val="00537E5C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5E75D3"/>
    <w:rsid w:val="00606A29"/>
    <w:rsid w:val="0061218E"/>
    <w:rsid w:val="00614481"/>
    <w:rsid w:val="00630A2F"/>
    <w:rsid w:val="0063236F"/>
    <w:rsid w:val="00634A3F"/>
    <w:rsid w:val="00647EDF"/>
    <w:rsid w:val="00654909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A20C2"/>
    <w:rsid w:val="007B19B3"/>
    <w:rsid w:val="007B6E4A"/>
    <w:rsid w:val="007E0793"/>
    <w:rsid w:val="007E522D"/>
    <w:rsid w:val="007F052F"/>
    <w:rsid w:val="007F0671"/>
    <w:rsid w:val="007F39B9"/>
    <w:rsid w:val="007F4704"/>
    <w:rsid w:val="007F48DE"/>
    <w:rsid w:val="00840A50"/>
    <w:rsid w:val="00861272"/>
    <w:rsid w:val="00871E68"/>
    <w:rsid w:val="008B62FA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47FCA"/>
    <w:rsid w:val="009551E3"/>
    <w:rsid w:val="00962350"/>
    <w:rsid w:val="00964EB6"/>
    <w:rsid w:val="00966AE0"/>
    <w:rsid w:val="00966C02"/>
    <w:rsid w:val="00982F43"/>
    <w:rsid w:val="00986689"/>
    <w:rsid w:val="009A757D"/>
    <w:rsid w:val="009C53B4"/>
    <w:rsid w:val="009C6C9F"/>
    <w:rsid w:val="009D4B63"/>
    <w:rsid w:val="009F43D7"/>
    <w:rsid w:val="00A20EFF"/>
    <w:rsid w:val="00A25F58"/>
    <w:rsid w:val="00A2712A"/>
    <w:rsid w:val="00A2756E"/>
    <w:rsid w:val="00A32E72"/>
    <w:rsid w:val="00A3788B"/>
    <w:rsid w:val="00A470E0"/>
    <w:rsid w:val="00A60D42"/>
    <w:rsid w:val="00A65D08"/>
    <w:rsid w:val="00AC1E2A"/>
    <w:rsid w:val="00AD6AC8"/>
    <w:rsid w:val="00AE2FBD"/>
    <w:rsid w:val="00AF0A98"/>
    <w:rsid w:val="00B01ABC"/>
    <w:rsid w:val="00B209E4"/>
    <w:rsid w:val="00B271ED"/>
    <w:rsid w:val="00B32B63"/>
    <w:rsid w:val="00B4465F"/>
    <w:rsid w:val="00B5039C"/>
    <w:rsid w:val="00B81CB7"/>
    <w:rsid w:val="00B82A9F"/>
    <w:rsid w:val="00B85A65"/>
    <w:rsid w:val="00BA418A"/>
    <w:rsid w:val="00BA5BF5"/>
    <w:rsid w:val="00BC656A"/>
    <w:rsid w:val="00BD7B8F"/>
    <w:rsid w:val="00BE66E8"/>
    <w:rsid w:val="00BF1776"/>
    <w:rsid w:val="00C27D40"/>
    <w:rsid w:val="00C27E0E"/>
    <w:rsid w:val="00C40169"/>
    <w:rsid w:val="00C40504"/>
    <w:rsid w:val="00C4410D"/>
    <w:rsid w:val="00C962B0"/>
    <w:rsid w:val="00C977F3"/>
    <w:rsid w:val="00CC5F56"/>
    <w:rsid w:val="00CD4241"/>
    <w:rsid w:val="00CE3C76"/>
    <w:rsid w:val="00CE44B5"/>
    <w:rsid w:val="00D063EB"/>
    <w:rsid w:val="00D102B4"/>
    <w:rsid w:val="00D3547C"/>
    <w:rsid w:val="00D461E2"/>
    <w:rsid w:val="00D52715"/>
    <w:rsid w:val="00D54A9C"/>
    <w:rsid w:val="00D56457"/>
    <w:rsid w:val="00D60CBB"/>
    <w:rsid w:val="00D673DE"/>
    <w:rsid w:val="00DA36E6"/>
    <w:rsid w:val="00DA3AF8"/>
    <w:rsid w:val="00DB034D"/>
    <w:rsid w:val="00DC1FF6"/>
    <w:rsid w:val="00DC7564"/>
    <w:rsid w:val="00DE1CF9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70527"/>
    <w:rsid w:val="00E75FB4"/>
    <w:rsid w:val="00E826DE"/>
    <w:rsid w:val="00E83126"/>
    <w:rsid w:val="00E85A17"/>
    <w:rsid w:val="00EA1797"/>
    <w:rsid w:val="00EB6947"/>
    <w:rsid w:val="00EC4933"/>
    <w:rsid w:val="00EC5EE0"/>
    <w:rsid w:val="00ED3149"/>
    <w:rsid w:val="00ED4FC1"/>
    <w:rsid w:val="00EE3127"/>
    <w:rsid w:val="00EE61AF"/>
    <w:rsid w:val="00EE75B6"/>
    <w:rsid w:val="00EF146B"/>
    <w:rsid w:val="00EF561E"/>
    <w:rsid w:val="00F134E3"/>
    <w:rsid w:val="00F16BE6"/>
    <w:rsid w:val="00F2248A"/>
    <w:rsid w:val="00F40E68"/>
    <w:rsid w:val="00F55166"/>
    <w:rsid w:val="00F56A10"/>
    <w:rsid w:val="00F66C7B"/>
    <w:rsid w:val="00F83A31"/>
    <w:rsid w:val="00F85737"/>
    <w:rsid w:val="00F93E6D"/>
    <w:rsid w:val="00FA2954"/>
    <w:rsid w:val="00FB4D1D"/>
    <w:rsid w:val="00FC2F6E"/>
    <w:rsid w:val="00FE15BE"/>
    <w:rsid w:val="00FE7B5D"/>
    <w:rsid w:val="00FF4D8E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75D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255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lotnikov.s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82C7C-33CB-432E-8031-66D47441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3495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пк1</cp:lastModifiedBy>
  <cp:revision>9</cp:revision>
  <cp:lastPrinted>2023-03-01T10:49:00Z</cp:lastPrinted>
  <dcterms:created xsi:type="dcterms:W3CDTF">2023-03-01T05:14:00Z</dcterms:created>
  <dcterms:modified xsi:type="dcterms:W3CDTF">2023-03-02T06:07:00Z</dcterms:modified>
</cp:coreProperties>
</file>