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B0" w:rsidRPr="00FC32BB" w:rsidRDefault="00A5111F">
      <w:pPr>
        <w:spacing w:after="346" w:line="259" w:lineRule="auto"/>
        <w:ind w:left="960" w:right="854" w:firstLine="255"/>
        <w:jc w:val="center"/>
        <w:rPr>
          <w:lang w:val="ru-RU"/>
        </w:rPr>
      </w:pPr>
      <w:r w:rsidRPr="00FC32BB">
        <w:rPr>
          <w:sz w:val="28"/>
          <w:lang w:val="ru-RU"/>
        </w:rPr>
        <w:t>Заключение об оценке регулирующего воздействия проекта муниципального нормативного правового акта городского округа Тольятти</w:t>
      </w:r>
    </w:p>
    <w:p w:rsidR="00FC30B0" w:rsidRPr="00FC32BB" w:rsidRDefault="00A5111F">
      <w:pPr>
        <w:numPr>
          <w:ilvl w:val="0"/>
          <w:numId w:val="1"/>
        </w:numPr>
        <w:spacing w:after="1" w:line="221" w:lineRule="auto"/>
        <w:ind w:right="47" w:firstLine="566"/>
        <w:rPr>
          <w:lang w:val="ru-RU"/>
        </w:rPr>
      </w:pPr>
      <w:r w:rsidRPr="00FC32BB">
        <w:rPr>
          <w:sz w:val="28"/>
          <w:lang w:val="ru-RU"/>
        </w:rPr>
        <w:t>Разработчик проекта муниципального нормативного правового акта:</w:t>
      </w:r>
    </w:p>
    <w:p w:rsidR="00FC30B0" w:rsidRPr="00FC32BB" w:rsidRDefault="00A5111F">
      <w:pPr>
        <w:spacing w:after="167"/>
        <w:ind w:right="4"/>
        <w:rPr>
          <w:lang w:val="ru-RU"/>
        </w:rPr>
      </w:pPr>
      <w:r w:rsidRPr="00FC32BB">
        <w:rPr>
          <w:lang w:val="ru-RU"/>
        </w:rPr>
        <w:t>Управление потребительского рынка администрации городского округа Тольятти.</w:t>
      </w:r>
    </w:p>
    <w:p w:rsidR="00FC30B0" w:rsidRPr="00FC32BB" w:rsidRDefault="00A5111F">
      <w:pPr>
        <w:numPr>
          <w:ilvl w:val="0"/>
          <w:numId w:val="1"/>
        </w:numPr>
        <w:spacing w:after="42" w:line="221" w:lineRule="auto"/>
        <w:ind w:right="47" w:firstLine="566"/>
        <w:rPr>
          <w:lang w:val="ru-RU"/>
        </w:rPr>
      </w:pPr>
      <w:r w:rsidRPr="00FC32BB">
        <w:rPr>
          <w:sz w:val="28"/>
          <w:lang w:val="ru-RU"/>
        </w:rPr>
        <w:t>Вид, наименование проекта муниципального нормативного правового акта:</w:t>
      </w:r>
    </w:p>
    <w:p w:rsidR="00FC30B0" w:rsidRPr="00FC32BB" w:rsidRDefault="00A5111F">
      <w:pPr>
        <w:spacing w:after="182"/>
        <w:ind w:left="33" w:right="4"/>
        <w:rPr>
          <w:lang w:val="ru-RU"/>
        </w:rPr>
      </w:pPr>
      <w:r w:rsidRPr="00FC32BB">
        <w:rPr>
          <w:lang w:val="ru-RU"/>
        </w:rPr>
        <w:t>Проект постановления администрации городского округа Тольятти 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Тольятти».</w:t>
      </w:r>
    </w:p>
    <w:p w:rsidR="00FC30B0" w:rsidRPr="00FC32BB" w:rsidRDefault="00A5111F">
      <w:pPr>
        <w:spacing w:after="128" w:line="221" w:lineRule="auto"/>
        <w:ind w:left="23" w:right="47" w:firstLine="566"/>
        <w:rPr>
          <w:lang w:val="ru-RU"/>
        </w:rPr>
      </w:pPr>
      <w:r w:rsidRPr="00FC32BB">
        <w:rPr>
          <w:sz w:val="28"/>
          <w:lang w:val="ru-RU"/>
        </w:rPr>
        <w:t>з. Дата получения уполномоченным органом отчета о проведении оценки регулирующего воздействия проекта муниципального нормативного правового акта: 15.11.2023 г. (письмо № 61816-вн/1.7 от 14.11.2023).</w:t>
      </w:r>
    </w:p>
    <w:p w:rsidR="00FC30B0" w:rsidRPr="00FC32BB" w:rsidRDefault="00824AC7">
      <w:pPr>
        <w:spacing w:after="34"/>
        <w:ind w:left="33" w:right="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page">
              <wp:posOffset>1234440</wp:posOffset>
            </wp:positionH>
            <wp:positionV relativeFrom="page">
              <wp:posOffset>6622415</wp:posOffset>
            </wp:positionV>
            <wp:extent cx="3175" cy="3175"/>
            <wp:effectExtent l="5715" t="2540" r="635" b="3810"/>
            <wp:wrapSquare wrapText="bothSides"/>
            <wp:docPr id="10" name="Picture 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1207135</wp:posOffset>
            </wp:positionV>
            <wp:extent cx="6350" cy="484505"/>
            <wp:effectExtent l="5080" t="0" r="0" b="3810"/>
            <wp:wrapSquare wrapText="bothSides"/>
            <wp:docPr id="9" name="Picture 1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1924050</wp:posOffset>
            </wp:positionV>
            <wp:extent cx="6350" cy="3597910"/>
            <wp:effectExtent l="5080" t="0" r="0" b="2540"/>
            <wp:wrapSquare wrapText="bothSides"/>
            <wp:docPr id="8" name="Picture 1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5750560</wp:posOffset>
            </wp:positionV>
            <wp:extent cx="6350" cy="2540000"/>
            <wp:effectExtent l="5080" t="0" r="0" b="5715"/>
            <wp:wrapSquare wrapText="bothSides"/>
            <wp:docPr id="7" name="Picture 1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11F" w:rsidRPr="00FC32BB">
        <w:rPr>
          <w:lang w:val="ru-RU"/>
        </w:rPr>
        <w:t>4. Соответствие представленных документов установленным требованиям: В соответствии с требованиями Порядка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 (далее — Порядок), утвержденного решением Думы городского округа Тольятти от 04.03.2020 №514, разработчиком определена степень регулирующего воздействия средняя. По мнению уполномоченного органа, степень регулирующего воздействия определена не верно, проект НПА содержит положения, относящиеся к высокой степени регулирующего воздействия.</w:t>
      </w:r>
    </w:p>
    <w:p w:rsidR="00FC30B0" w:rsidRPr="00FC32BB" w:rsidRDefault="00A5111F">
      <w:pPr>
        <w:ind w:left="33" w:right="4" w:firstLine="710"/>
        <w:rPr>
          <w:lang w:val="ru-RU"/>
        </w:rPr>
      </w:pPr>
      <w:r w:rsidRPr="00FC32BB">
        <w:rPr>
          <w:lang w:val="ru-RU"/>
        </w:rPr>
        <w:t xml:space="preserve">В соответствии с п. 13 Порядка срок проведения публичных консультаций составляет 10 рабочих дней. Публичные консультации проведены разработчиком в установленный срок с 30.10.2023 по 13.11.2023 путем размещения на официальном сайте администрации городского округа Тольятти </w:t>
      </w:r>
      <w:r>
        <w:rPr>
          <w:u w:val="single" w:color="000000"/>
        </w:rPr>
        <w:t>www</w:t>
      </w:r>
      <w:r w:rsidRPr="00FC32BB">
        <w:rPr>
          <w:u w:val="single" w:color="000000"/>
          <w:lang w:val="ru-RU"/>
        </w:rPr>
        <w:t>.</w:t>
      </w:r>
      <w:r>
        <w:rPr>
          <w:u w:val="single" w:color="000000"/>
        </w:rPr>
        <w:t>tgl</w:t>
      </w:r>
      <w:r w:rsidRPr="00FC32BB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FC32BB">
        <w:rPr>
          <w:u w:val="single" w:color="000000"/>
          <w:lang w:val="ru-RU"/>
        </w:rPr>
        <w:t>/</w:t>
      </w:r>
      <w:r>
        <w:rPr>
          <w:u w:val="single" w:color="000000"/>
        </w:rPr>
        <w:t>orv</w:t>
      </w:r>
      <w:r w:rsidRPr="00FC32BB">
        <w:rPr>
          <w:u w:val="single" w:color="000000"/>
          <w:lang w:val="ru-RU"/>
        </w:rPr>
        <w:t>\</w:t>
      </w:r>
      <w:r w:rsidRPr="00FC32BB">
        <w:rPr>
          <w:lang w:val="ru-RU"/>
        </w:rPr>
        <w:t xml:space="preserve"> и на Портале </w:t>
      </w:r>
      <w:r>
        <w:rPr>
          <w:u w:val="single" w:color="000000"/>
        </w:rPr>
        <w:t>www</w:t>
      </w:r>
      <w:r w:rsidRPr="00FC32BB">
        <w:rPr>
          <w:u w:val="single" w:color="000000"/>
          <w:lang w:val="ru-RU"/>
        </w:rPr>
        <w:t>.</w:t>
      </w:r>
      <w:r>
        <w:rPr>
          <w:u w:val="single" w:color="000000"/>
        </w:rPr>
        <w:t>regulation</w:t>
      </w:r>
      <w:r w:rsidRPr="00FC32BB">
        <w:rPr>
          <w:u w:val="single" w:color="000000"/>
          <w:lang w:val="ru-RU"/>
        </w:rPr>
        <w:t>.</w:t>
      </w:r>
      <w:r>
        <w:rPr>
          <w:u w:val="single" w:color="000000"/>
        </w:rPr>
        <w:t>samregion</w:t>
      </w:r>
      <w:r w:rsidRPr="00FC32BB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FC32BB">
        <w:rPr>
          <w:u w:val="single" w:color="000000"/>
          <w:lang w:val="ru-RU"/>
        </w:rPr>
        <w:t xml:space="preserve"> </w:t>
      </w:r>
      <w:r w:rsidRPr="00FC32BB">
        <w:rPr>
          <w:lang w:val="ru-RU"/>
        </w:rPr>
        <w:t>документов, в соответствии с требованиями п. 11 Порядка.</w:t>
      </w:r>
    </w:p>
    <w:p w:rsidR="00FC30B0" w:rsidRPr="00FC32BB" w:rsidRDefault="00A5111F">
      <w:pPr>
        <w:spacing w:after="30"/>
        <w:ind w:left="33" w:right="82"/>
        <w:rPr>
          <w:lang w:val="ru-RU"/>
        </w:rPr>
      </w:pPr>
      <w:r w:rsidRPr="00FC32BB">
        <w:rPr>
          <w:lang w:val="ru-RU"/>
        </w:rPr>
        <w:lastRenderedPageBreak/>
        <w:t>Согласно представленному Своду предложений, разработчик в соответствии с п. 15 Порядка известил о проведении публичных консультаций по проекту нормативного правового акта (далее — НПА) посредством электронной почты:</w:t>
      </w:r>
    </w:p>
    <w:p w:rsidR="00FC30B0" w:rsidRPr="00FC32BB" w:rsidRDefault="00A5111F">
      <w:pPr>
        <w:numPr>
          <w:ilvl w:val="0"/>
          <w:numId w:val="2"/>
        </w:numPr>
        <w:spacing w:after="0" w:line="259" w:lineRule="auto"/>
        <w:ind w:right="12" w:hanging="149"/>
        <w:rPr>
          <w:lang w:val="ru-RU"/>
        </w:rPr>
      </w:pPr>
      <w:r w:rsidRPr="00FC32BB">
        <w:rPr>
          <w:lang w:val="ru-RU"/>
        </w:rPr>
        <w:t>уполномоченного по защите прав предпринимателей Самарской области;</w:t>
      </w:r>
    </w:p>
    <w:p w:rsidR="00FC30B0" w:rsidRPr="00FC32BB" w:rsidRDefault="00A5111F">
      <w:pPr>
        <w:numPr>
          <w:ilvl w:val="0"/>
          <w:numId w:val="2"/>
        </w:numPr>
        <w:ind w:right="12" w:hanging="149"/>
        <w:rPr>
          <w:lang w:val="ru-RU"/>
        </w:rPr>
      </w:pPr>
      <w:r w:rsidRPr="00FC32BB">
        <w:rPr>
          <w:lang w:val="ru-RU"/>
        </w:rPr>
        <w:t>органы местного самоуправления городского округа Тольятти;</w:t>
      </w:r>
    </w:p>
    <w:p w:rsidR="00FC30B0" w:rsidRPr="00FC32BB" w:rsidRDefault="00A5111F">
      <w:pPr>
        <w:spacing w:after="164" w:line="265" w:lineRule="auto"/>
        <w:ind w:left="116" w:hanging="10"/>
        <w:jc w:val="center"/>
        <w:rPr>
          <w:lang w:val="ru-RU"/>
        </w:rPr>
      </w:pPr>
      <w:r w:rsidRPr="00FC32BB">
        <w:rPr>
          <w:sz w:val="24"/>
          <w:lang w:val="ru-RU"/>
        </w:rPr>
        <w:t>2</w:t>
      </w:r>
    </w:p>
    <w:p w:rsidR="00FC30B0" w:rsidRPr="00FC32BB" w:rsidRDefault="00A5111F">
      <w:pPr>
        <w:spacing w:after="0" w:line="294" w:lineRule="auto"/>
        <w:ind w:left="33" w:right="4"/>
        <w:rPr>
          <w:lang w:val="ru-RU"/>
        </w:rPr>
      </w:pPr>
      <w:r w:rsidRPr="00FC32BB">
        <w:rPr>
          <w:lang w:val="ru-RU"/>
        </w:rPr>
        <w:t>-общественные объединения в сфере предпринимательской и иной экономической деятельности, с которыми органы местного самоуправления заключили соглашение о взаимодействии в сфере ОРВ: Союз «Торговопромышленная палата г.Тольятти», Тольяттинское местное отделение общественной организации малого и среднего предпринимательства «ОПОРА РОССИИ», некоммерческое партнерство «Ассоциация некоммерческих организаций предпринимателей Самарской области «Взаимодействие», общественную организацию «Совет женщин Автозаводского района г.Тольятти», общественную организацию «Тольяттинский клуб деловых женщин».</w:t>
      </w:r>
    </w:p>
    <w:p w:rsidR="00FC30B0" w:rsidRPr="00FC32BB" w:rsidRDefault="00A5111F">
      <w:pPr>
        <w:ind w:left="33" w:right="4" w:firstLine="701"/>
        <w:rPr>
          <w:lang w:val="ru-RU"/>
        </w:rPr>
      </w:pPr>
      <w:r w:rsidRPr="00FC32BB">
        <w:rPr>
          <w:lang w:val="ru-RU"/>
        </w:rPr>
        <w:t>Извещение о проведении публичных консультаций по проекту НПА иных физических и юридических лиц, органов власти осуществляется разработчиком исходя из специфики проекта НПА.</w:t>
      </w:r>
    </w:p>
    <w:p w:rsidR="00FC30B0" w:rsidRPr="00FC32BB" w:rsidRDefault="00A5111F">
      <w:pPr>
        <w:spacing w:after="128"/>
        <w:ind w:left="33" w:right="4"/>
        <w:rPr>
          <w:lang w:val="ru-RU"/>
        </w:rPr>
      </w:pPr>
      <w:r w:rsidRPr="00FC32BB">
        <w:rPr>
          <w:lang w:val="ru-RU"/>
        </w:rPr>
        <w:t>В период проведения публичных консультаций предложений по Проекту не поступило.</w:t>
      </w:r>
    </w:p>
    <w:p w:rsidR="00FC30B0" w:rsidRPr="00FC32BB" w:rsidRDefault="00A5111F">
      <w:pPr>
        <w:ind w:left="33" w:right="4"/>
        <w:rPr>
          <w:lang w:val="ru-RU"/>
        </w:rPr>
      </w:pPr>
      <w:r w:rsidRPr="00FC32BB">
        <w:rPr>
          <w:lang w:val="ru-RU"/>
        </w:rPr>
        <w:t>Документы, приложенные разработчиком к Отчету, соответствуют требованиям п.2З Порядка.</w:t>
      </w:r>
    </w:p>
    <w:p w:rsidR="00FC30B0" w:rsidRPr="00FC32BB" w:rsidRDefault="00A5111F">
      <w:pPr>
        <w:numPr>
          <w:ilvl w:val="0"/>
          <w:numId w:val="3"/>
        </w:numPr>
        <w:spacing w:after="34" w:line="221" w:lineRule="auto"/>
        <w:ind w:right="47" w:firstLine="461"/>
        <w:rPr>
          <w:lang w:val="ru-RU"/>
        </w:rPr>
      </w:pPr>
      <w:r w:rsidRPr="00FC32BB">
        <w:rPr>
          <w:sz w:val="28"/>
          <w:lang w:val="ru-RU"/>
        </w:rPr>
        <w:t>Оценка соответствия результатов выполненной процедуры оценки регулирующего воздействия целям ее проведения.</w:t>
      </w:r>
    </w:p>
    <w:p w:rsidR="00FC30B0" w:rsidRPr="00FC32BB" w:rsidRDefault="00A5111F">
      <w:pPr>
        <w:ind w:left="33" w:right="4"/>
        <w:rPr>
          <w:lang w:val="ru-RU"/>
        </w:rPr>
      </w:pPr>
      <w:r w:rsidRPr="00FC32BB">
        <w:rPr>
          <w:lang w:val="ru-RU"/>
        </w:rPr>
        <w:t>Результаты процедуры оценки регулирующего воздействия соответствуют целям её проведения.</w:t>
      </w:r>
    </w:p>
    <w:p w:rsidR="00FC30B0" w:rsidRPr="00FC32BB" w:rsidRDefault="00824AC7">
      <w:pPr>
        <w:numPr>
          <w:ilvl w:val="0"/>
          <w:numId w:val="3"/>
        </w:numPr>
        <w:spacing w:after="30" w:line="221" w:lineRule="auto"/>
        <w:ind w:right="47" w:firstLine="46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1347470</wp:posOffset>
            </wp:positionV>
            <wp:extent cx="6350" cy="6866255"/>
            <wp:effectExtent l="5080" t="4445" r="0" b="0"/>
            <wp:wrapSquare wrapText="bothSides"/>
            <wp:docPr id="6" name="Picture 1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86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11F" w:rsidRPr="00FC32BB">
        <w:rPr>
          <w:sz w:val="28"/>
          <w:lang w:val="ru-RU"/>
        </w:rPr>
        <w:t>Оценка соответствия содержания отчета о проведении оценки регулирующего воздействия установленным требованиям.</w:t>
      </w:r>
    </w:p>
    <w:p w:rsidR="00FC30B0" w:rsidRPr="00FC32BB" w:rsidRDefault="00A5111F">
      <w:pPr>
        <w:spacing w:after="21"/>
        <w:ind w:left="33" w:right="4"/>
        <w:rPr>
          <w:lang w:val="ru-RU"/>
        </w:rPr>
      </w:pPr>
      <w:r w:rsidRPr="00FC32BB">
        <w:rPr>
          <w:lang w:val="ru-RU"/>
        </w:rPr>
        <w:t>Отчет о проведении оценки регулирующего воздействия (далее - Отчет) соответствует Порядку по форме и содержанию. Разработчиком изучен опыт аналогичного правового регулирования в таких муниципальных образованиях как:</w:t>
      </w:r>
    </w:p>
    <w:p w:rsidR="00FC30B0" w:rsidRPr="00FC32BB" w:rsidRDefault="00A5111F">
      <w:pPr>
        <w:numPr>
          <w:ilvl w:val="1"/>
          <w:numId w:val="3"/>
        </w:numPr>
        <w:spacing w:after="103"/>
        <w:ind w:right="2" w:firstLine="713"/>
        <w:jc w:val="left"/>
        <w:rPr>
          <w:lang w:val="ru-RU"/>
        </w:rPr>
      </w:pPr>
      <w:r w:rsidRPr="00FC32BB">
        <w:rPr>
          <w:lang w:val="ru-RU"/>
        </w:rPr>
        <w:t>городской округ Самара - Постановление Администрации городского округа Самара от 25.03.2022 № 180 «О внесении изменения в постановление Администрации городского округа Самара от 24.04.2012 № 360 «Об утверждении</w:t>
      </w:r>
    </w:p>
    <w:p w:rsidR="00FC30B0" w:rsidRPr="00FC32BB" w:rsidRDefault="00A5111F">
      <w:pPr>
        <w:ind w:left="33" w:right="77" w:firstLine="24"/>
        <w:rPr>
          <w:lang w:val="ru-RU"/>
        </w:rPr>
      </w:pPr>
      <w:r w:rsidRPr="00FC32BB">
        <w:rPr>
          <w:lang w:val="ru-RU"/>
        </w:rPr>
        <w:lastRenderedPageBreak/>
        <w:t>Перечня муниципальных услуг, предоставляемых отраслевыми (функциональными) органами Администрации городского округа Самара, Департаментом управления имуществом городского округа Самара, Департаментом градостроительства городского округа Самара» и утверждении административного регламента предоставления муниципальной услуги «Рассмотрение предложений по включению мест для размещения нестационарных торговых объектов в схему размещения нестационарных торговых объектов на территории городского округа Самара»;</w:t>
      </w:r>
    </w:p>
    <w:p w:rsidR="00FC30B0" w:rsidRPr="00FC32BB" w:rsidRDefault="00A5111F">
      <w:pPr>
        <w:numPr>
          <w:ilvl w:val="1"/>
          <w:numId w:val="3"/>
        </w:numPr>
        <w:spacing w:after="109" w:line="269" w:lineRule="auto"/>
        <w:ind w:right="2" w:firstLine="713"/>
        <w:jc w:val="left"/>
        <w:rPr>
          <w:lang w:val="ru-RU"/>
        </w:rPr>
      </w:pPr>
      <w:r w:rsidRPr="00FC32BB">
        <w:rPr>
          <w:lang w:val="ru-RU"/>
        </w:rPr>
        <w:t>городской округ Михайловка Волгоградской области</w:t>
      </w:r>
      <w:r w:rsidRPr="00FC32BB">
        <w:rPr>
          <w:lang w:val="ru-RU"/>
        </w:rPr>
        <w:tab/>
        <w:t xml:space="preserve">постановление Администрации городского округа Михайловка от 13.01.2023 №49 «Об утверждении административного регламента предоставления муниципальной </w:t>
      </w:r>
      <w:r w:rsidR="00824AC7">
        <w:rPr>
          <w:noProof/>
          <w:lang w:val="ru-RU" w:eastAsia="ru-RU"/>
        </w:rPr>
        <w:drawing>
          <wp:inline distT="0" distB="0" distL="0" distR="0">
            <wp:extent cx="238125" cy="95250"/>
            <wp:effectExtent l="19050" t="0" r="9525" b="0"/>
            <wp:docPr id="1" name="Picture 1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2BB">
        <w:rPr>
          <w:lang w:val="ru-RU"/>
        </w:rPr>
        <w:t>«Рассмотрение</w:t>
      </w:r>
      <w:r w:rsidRPr="00FC32BB">
        <w:rPr>
          <w:lang w:val="ru-RU"/>
        </w:rPr>
        <w:tab/>
        <w:t>предложений</w:t>
      </w:r>
      <w:r w:rsidRPr="00FC32BB">
        <w:rPr>
          <w:lang w:val="ru-RU"/>
        </w:rPr>
        <w:tab/>
        <w:t>О</w:t>
      </w:r>
      <w:r w:rsidRPr="00FC32BB">
        <w:rPr>
          <w:lang w:val="ru-RU"/>
        </w:rPr>
        <w:tab/>
        <w:t>включении</w:t>
      </w:r>
      <w:r w:rsidRPr="00FC32BB">
        <w:rPr>
          <w:lang w:val="ru-RU"/>
        </w:rPr>
        <w:tab/>
        <w:t>мест размещения нестационарных торговых объектов в схему размещения нестационарных торговых объектов, об исключении мест размещения нестационарных торговых объектов из з</w:t>
      </w:r>
    </w:p>
    <w:p w:rsidR="00FC30B0" w:rsidRPr="00FC32BB" w:rsidRDefault="00A5111F">
      <w:pPr>
        <w:spacing w:after="19"/>
        <w:ind w:left="33" w:right="4" w:firstLine="0"/>
        <w:rPr>
          <w:lang w:val="ru-RU"/>
        </w:rPr>
      </w:pPr>
      <w:r w:rsidRPr="00FC32BB">
        <w:rPr>
          <w:lang w:val="ru-RU"/>
        </w:rPr>
        <w:t>схемы размещения нестационарных торговых объектов, о внесении изменений в схему размещения нестационарных торговых объектов».</w:t>
      </w:r>
    </w:p>
    <w:p w:rsidR="00FC30B0" w:rsidRPr="00FC32BB" w:rsidRDefault="00A5111F">
      <w:pPr>
        <w:numPr>
          <w:ilvl w:val="0"/>
          <w:numId w:val="3"/>
        </w:numPr>
        <w:spacing w:after="0" w:line="259" w:lineRule="auto"/>
        <w:ind w:right="47" w:firstLine="461"/>
        <w:rPr>
          <w:lang w:val="ru-RU"/>
        </w:rPr>
      </w:pPr>
      <w:r w:rsidRPr="00FC32BB">
        <w:rPr>
          <w:sz w:val="28"/>
          <w:lang w:val="ru-RU"/>
        </w:rPr>
        <w:t>Оценка эффективности предлагаемого варианта решения проблемы.</w:t>
      </w:r>
    </w:p>
    <w:p w:rsidR="00FC30B0" w:rsidRPr="00FC32BB" w:rsidRDefault="00A5111F">
      <w:pPr>
        <w:spacing w:after="0"/>
        <w:ind w:left="33" w:right="4"/>
        <w:rPr>
          <w:lang w:val="ru-RU"/>
        </w:rPr>
      </w:pPr>
      <w:r w:rsidRPr="00FC32BB">
        <w:rPr>
          <w:lang w:val="ru-RU"/>
        </w:rPr>
        <w:t>На основании проведенной оценки Проекта с учетом Отчета, представленного разработчиком, уполномоченный орган считает эффективным предлагаемый способ правового регулирования, поскольку принятие нормативного правового акта способствует соблюдению норм и положений федеральных, региональных и муниципальных актов в сфере регламентирования размещения нестационарных торговых объектов. Создаются комфортные условия предоставления услуги для заявителя, повышается доступность и качество предоставление услуги.</w:t>
      </w:r>
    </w:p>
    <w:p w:rsidR="00FC30B0" w:rsidRDefault="00A5111F">
      <w:pPr>
        <w:numPr>
          <w:ilvl w:val="0"/>
          <w:numId w:val="3"/>
        </w:numPr>
        <w:spacing w:after="45" w:line="221" w:lineRule="auto"/>
        <w:ind w:right="47" w:firstLine="461"/>
      </w:pPr>
      <w:r>
        <w:rPr>
          <w:sz w:val="28"/>
        </w:rPr>
        <w:t>Выводы:</w:t>
      </w:r>
    </w:p>
    <w:p w:rsidR="00FC30B0" w:rsidRPr="00FC32BB" w:rsidRDefault="00A5111F">
      <w:pPr>
        <w:numPr>
          <w:ilvl w:val="0"/>
          <w:numId w:val="4"/>
        </w:numPr>
        <w:spacing w:after="1" w:line="221" w:lineRule="auto"/>
        <w:ind w:right="47" w:firstLine="566"/>
        <w:rPr>
          <w:lang w:val="ru-RU"/>
        </w:rPr>
      </w:pPr>
      <w:r w:rsidRPr="00FC32BB">
        <w:rPr>
          <w:sz w:val="28"/>
          <w:lang w:val="ru-RU"/>
        </w:rPr>
        <w:t>О наличии (отсутствии) в проекте муниципального нормативного правового акта положений, вводящих избыточные обязанности, запреты, ограничения для субъектов предпринимательской и иной экономической деятельности или способствующих их введению.</w:t>
      </w:r>
    </w:p>
    <w:p w:rsidR="00FC30B0" w:rsidRPr="00FC32BB" w:rsidRDefault="00824AC7">
      <w:pPr>
        <w:spacing w:after="4"/>
        <w:ind w:left="33" w:right="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118745</wp:posOffset>
            </wp:positionH>
            <wp:positionV relativeFrom="page">
              <wp:posOffset>7978775</wp:posOffset>
            </wp:positionV>
            <wp:extent cx="2609215" cy="399415"/>
            <wp:effectExtent l="19050" t="0" r="635" b="0"/>
            <wp:wrapTopAndBottom/>
            <wp:docPr id="5" name="Picture 7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7303135</wp:posOffset>
            </wp:positionH>
            <wp:positionV relativeFrom="page">
              <wp:posOffset>146050</wp:posOffset>
            </wp:positionV>
            <wp:extent cx="82550" cy="8049260"/>
            <wp:effectExtent l="19050" t="0" r="0" b="0"/>
            <wp:wrapSquare wrapText="bothSides"/>
            <wp:docPr id="4" name="Picture 1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04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11F" w:rsidRPr="00FC32BB">
        <w:rPr>
          <w:lang w:val="ru-RU"/>
        </w:rPr>
        <w:t>Исходя из информации, представленной в Отчете, Проект не содержит положений, 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введению.</w:t>
      </w:r>
    </w:p>
    <w:p w:rsidR="00FC30B0" w:rsidRPr="00FC32BB" w:rsidRDefault="00A5111F">
      <w:pPr>
        <w:numPr>
          <w:ilvl w:val="0"/>
          <w:numId w:val="4"/>
        </w:numPr>
        <w:spacing w:after="1" w:line="221" w:lineRule="auto"/>
        <w:ind w:right="47" w:firstLine="566"/>
        <w:rPr>
          <w:lang w:val="ru-RU"/>
        </w:rPr>
      </w:pPr>
      <w:r w:rsidRPr="00FC32BB">
        <w:rPr>
          <w:sz w:val="28"/>
          <w:lang w:val="ru-RU"/>
        </w:rPr>
        <w:t>О наличии (отсутствии) в проекте муниципального нормативного правового акта положений, способствующих возникновению необоснованных расходов субъектов предпринимательской и иной экономической деятельности и бюджета городского округа Тольятти.</w:t>
      </w:r>
    </w:p>
    <w:p w:rsidR="00FC30B0" w:rsidRPr="00FC32BB" w:rsidRDefault="00A5111F">
      <w:pPr>
        <w:spacing w:after="800"/>
        <w:ind w:left="33" w:right="4"/>
        <w:rPr>
          <w:lang w:val="ru-RU"/>
        </w:rPr>
      </w:pPr>
      <w:r w:rsidRPr="00FC32BB">
        <w:rPr>
          <w:lang w:val="ru-RU"/>
        </w:rPr>
        <w:lastRenderedPageBreak/>
        <w:t>Согласно представленному Отчету разработчика, в Проекте отсутствуют положения, способствующие возникновению необоснованных расходов субъектов предпринимательской и инвестиционной деятельности и бюджета городского округа Тольятти.</w:t>
      </w:r>
      <w:r w:rsidR="00824AC7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B0" w:rsidRDefault="00A5111F">
      <w:pPr>
        <w:spacing w:after="377"/>
        <w:ind w:left="43" w:right="120" w:hanging="10"/>
      </w:pPr>
      <w:r w:rsidRPr="00FC32BB">
        <w:rPr>
          <w:lang w:val="ru-RU"/>
        </w:rPr>
        <w:t xml:space="preserve">И.о. руководителя департамента экономического развития администрации городского округа Тольятти </w:t>
      </w:r>
      <w:r w:rsidR="00824AC7">
        <w:rPr>
          <w:noProof/>
          <w:lang w:val="ru-RU" w:eastAsia="ru-RU"/>
        </w:rPr>
        <w:drawing>
          <wp:inline distT="0" distB="0" distL="0" distR="0">
            <wp:extent cx="981075" cy="276225"/>
            <wp:effectExtent l="19050" t="0" r="9525" b="0"/>
            <wp:docPr id="3" name="Picture 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2BB">
        <w:rPr>
          <w:lang w:val="ru-RU"/>
        </w:rPr>
        <w:t xml:space="preserve"> ТВ. </w:t>
      </w:r>
      <w:r>
        <w:t>Сергушкина</w:t>
      </w:r>
    </w:p>
    <w:p w:rsidR="00FC30B0" w:rsidRDefault="00A5111F">
      <w:pPr>
        <w:ind w:left="33" w:right="4" w:firstLine="0"/>
      </w:pPr>
      <w:r>
        <w:t>«17» ноября 2023 г.</w:t>
      </w:r>
    </w:p>
    <w:sectPr w:rsidR="00FC30B0">
      <w:pgSz w:w="12240" w:h="15840"/>
      <w:pgMar w:top="509" w:right="816" w:bottom="3571" w:left="19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915"/>
    <w:multiLevelType w:val="hybridMultilevel"/>
    <w:tmpl w:val="7A769798"/>
    <w:lvl w:ilvl="0" w:tplc="40C6674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5639F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8EE1FC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A028E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924FEC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28AECA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76793E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BE1F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E2EA7A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8558E"/>
    <w:multiLevelType w:val="hybridMultilevel"/>
    <w:tmpl w:val="01741AF0"/>
    <w:lvl w:ilvl="0" w:tplc="DC9600D2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AACC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6AE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AB4A4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85A4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8289C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61B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C38D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253E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2F064F"/>
    <w:multiLevelType w:val="hybridMultilevel"/>
    <w:tmpl w:val="46ACA880"/>
    <w:lvl w:ilvl="0" w:tplc="E026D7CA">
      <w:start w:val="5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C8624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3463A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140D1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B2738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34A50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DADAD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16579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CAC65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FD5064"/>
    <w:multiLevelType w:val="hybridMultilevel"/>
    <w:tmpl w:val="98323980"/>
    <w:lvl w:ilvl="0" w:tplc="417240E0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C6C434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2EF234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AC6F10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E806CE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0A45BE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D4E988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7E5A16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32B2FA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30B0"/>
    <w:rsid w:val="00181990"/>
    <w:rsid w:val="00824AC7"/>
    <w:rsid w:val="00A5111F"/>
    <w:rsid w:val="00FC30B0"/>
    <w:rsid w:val="00F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7" w:line="228" w:lineRule="auto"/>
      <w:ind w:left="101" w:firstLine="556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brovkina.av</cp:lastModifiedBy>
  <cp:revision>2</cp:revision>
  <dcterms:created xsi:type="dcterms:W3CDTF">2023-11-17T11:07:00Z</dcterms:created>
  <dcterms:modified xsi:type="dcterms:W3CDTF">2023-11-17T11:07:00Z</dcterms:modified>
</cp:coreProperties>
</file>