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B78" w:rsidRPr="00E75B85" w:rsidRDefault="00B96B78">
      <w:pPr>
        <w:pStyle w:val="ConsPlusTitle"/>
        <w:jc w:val="center"/>
        <w:outlineLvl w:val="0"/>
      </w:pPr>
      <w:r w:rsidRPr="00E75B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03C59C" wp14:editId="11C0BF9A">
                <wp:simplePos x="0" y="0"/>
                <wp:positionH relativeFrom="column">
                  <wp:posOffset>3439998</wp:posOffset>
                </wp:positionH>
                <wp:positionV relativeFrom="paragraph">
                  <wp:posOffset>-131181</wp:posOffset>
                </wp:positionV>
                <wp:extent cx="2623820" cy="1043940"/>
                <wp:effectExtent l="0" t="0" r="5080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3820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6B78" w:rsidRPr="00C61F81" w:rsidRDefault="00B96B78" w:rsidP="00B96B7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61F81">
                              <w:rPr>
                                <w:rFonts w:ascii="Times New Roman" w:hAnsi="Times New Roman"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УТВЕРЖДЕНА</w:t>
                            </w:r>
                          </w:p>
                          <w:p w:rsidR="00B96B78" w:rsidRPr="00C61F81" w:rsidRDefault="00B96B78" w:rsidP="00B96B7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61F81">
                              <w:rPr>
                                <w:rFonts w:ascii="Times New Roman" w:hAnsi="Times New Roman"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постановлением администрации</w:t>
                            </w:r>
                          </w:p>
                          <w:p w:rsidR="00B96B78" w:rsidRPr="00C61F81" w:rsidRDefault="00B96B78" w:rsidP="00B96B7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61F81">
                              <w:rPr>
                                <w:rFonts w:ascii="Times New Roman" w:hAnsi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городского округа Тольятти</w:t>
                            </w:r>
                          </w:p>
                          <w:p w:rsidR="00B96B78" w:rsidRPr="00C61F81" w:rsidRDefault="00B96B78" w:rsidP="00B96B78">
                            <w:pPr>
                              <w:jc w:val="center"/>
                              <w:rPr>
                                <w:rFonts w:ascii="Times New Roman" w:hAnsi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61F81">
                              <w:rPr>
                                <w:rFonts w:ascii="Times New Roman" w:hAnsi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от _________ №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70.85pt;margin-top:-10.35pt;width:206.6pt;height:8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" stroked="f">
                <v:textbox>
                  <w:txbxContent>
                    <w:p w:rsidR="00B96B78" w:rsidRPr="00C61F81" w:rsidRDefault="00B96B78" w:rsidP="00B96B7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C61F81">
                        <w:rPr>
                          <w:rFonts w:ascii="Times New Roman" w:hAnsi="Times New Roman"/>
                          <w:bCs/>
                          <w:color w:val="FFFFFF" w:themeColor="background1"/>
                          <w:sz w:val="24"/>
                          <w:szCs w:val="24"/>
                        </w:rPr>
                        <w:t>УТВЕРЖДЕНА</w:t>
                      </w:r>
                    </w:p>
                    <w:p w:rsidR="00B96B78" w:rsidRPr="00C61F81" w:rsidRDefault="00B96B78" w:rsidP="00B96B7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C61F81">
                        <w:rPr>
                          <w:rFonts w:ascii="Times New Roman" w:hAnsi="Times New Roman"/>
                          <w:bCs/>
                          <w:color w:val="FFFFFF" w:themeColor="background1"/>
                          <w:sz w:val="24"/>
                          <w:szCs w:val="24"/>
                        </w:rPr>
                        <w:t>постановлением администрации</w:t>
                      </w:r>
                    </w:p>
                    <w:p w:rsidR="00B96B78" w:rsidRPr="00C61F81" w:rsidRDefault="00B96B78" w:rsidP="00B96B7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C61F81">
                        <w:rPr>
                          <w:rFonts w:ascii="Times New Roman" w:hAnsi="Times New Roman"/>
                          <w:color w:val="FFFFFF" w:themeColor="background1"/>
                          <w:sz w:val="24"/>
                          <w:szCs w:val="24"/>
                        </w:rPr>
                        <w:t>городского округа Тольятти</w:t>
                      </w:r>
                    </w:p>
                    <w:p w:rsidR="00B96B78" w:rsidRPr="00C61F81" w:rsidRDefault="00B96B78" w:rsidP="00B96B78">
                      <w:pPr>
                        <w:jc w:val="center"/>
                        <w:rPr>
                          <w:rFonts w:ascii="Times New Roman" w:hAnsi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C61F81">
                        <w:rPr>
                          <w:rFonts w:ascii="Times New Roman" w:hAnsi="Times New Roman"/>
                          <w:color w:val="FFFFFF" w:themeColor="background1"/>
                          <w:sz w:val="24"/>
                          <w:szCs w:val="24"/>
                        </w:rPr>
                        <w:t>от _________ № 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96B78" w:rsidRPr="00E75B85" w:rsidRDefault="00B96B78">
      <w:pPr>
        <w:pStyle w:val="ConsPlusTitle"/>
        <w:jc w:val="center"/>
        <w:outlineLvl w:val="0"/>
      </w:pPr>
    </w:p>
    <w:p w:rsidR="00B96B78" w:rsidRPr="00E75B85" w:rsidRDefault="00B96B78">
      <w:pPr>
        <w:pStyle w:val="ConsPlusTitle"/>
        <w:jc w:val="center"/>
        <w:outlineLvl w:val="0"/>
      </w:pPr>
    </w:p>
    <w:p w:rsidR="00B96B78" w:rsidRPr="00E75B85" w:rsidRDefault="00B96B78">
      <w:pPr>
        <w:pStyle w:val="ConsPlusTitle"/>
        <w:jc w:val="center"/>
        <w:outlineLvl w:val="0"/>
      </w:pPr>
    </w:p>
    <w:p w:rsidR="00B96B78" w:rsidRPr="00E75B85" w:rsidRDefault="00B96B78">
      <w:pPr>
        <w:pStyle w:val="ConsPlusTitle"/>
        <w:jc w:val="center"/>
        <w:outlineLvl w:val="0"/>
      </w:pPr>
    </w:p>
    <w:p w:rsidR="00B96B78" w:rsidRPr="00E75B85" w:rsidRDefault="00B96B78">
      <w:pPr>
        <w:pStyle w:val="ConsPlusTitle"/>
        <w:jc w:val="center"/>
        <w:outlineLvl w:val="0"/>
      </w:pPr>
    </w:p>
    <w:p w:rsidR="00B96B78" w:rsidRPr="00E75B85" w:rsidRDefault="00B96B78">
      <w:pPr>
        <w:pStyle w:val="ConsPlusTitle"/>
        <w:jc w:val="center"/>
        <w:outlineLvl w:val="0"/>
      </w:pPr>
    </w:p>
    <w:p w:rsidR="00474878" w:rsidRPr="00E75B85" w:rsidRDefault="00474878" w:rsidP="0047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75B85">
        <w:rPr>
          <w:rFonts w:ascii="Times New Roman" w:hAnsi="Times New Roman" w:cs="Times New Roman"/>
          <w:bCs/>
          <w:sz w:val="24"/>
          <w:szCs w:val="24"/>
        </w:rPr>
        <w:t>МУНИЦИПАЛЬНАЯ ПРОГРАММА</w:t>
      </w:r>
    </w:p>
    <w:p w:rsidR="00474878" w:rsidRPr="00E75B85" w:rsidRDefault="00474878" w:rsidP="0047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75B85">
        <w:rPr>
          <w:rFonts w:ascii="Times New Roman" w:hAnsi="Times New Roman" w:cs="Times New Roman"/>
          <w:bCs/>
          <w:sz w:val="24"/>
          <w:szCs w:val="24"/>
        </w:rPr>
        <w:t xml:space="preserve">«БЛАГОУСТРОЙСТВО ТЕРРИТОРИИ ГОРОДСКОГО ОКРУГА ТОЛЬЯТТИ </w:t>
      </w:r>
    </w:p>
    <w:p w:rsidR="00474878" w:rsidRPr="00E75B85" w:rsidRDefault="00474878" w:rsidP="0047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75B85">
        <w:rPr>
          <w:rFonts w:ascii="Times New Roman" w:hAnsi="Times New Roman" w:cs="Times New Roman"/>
          <w:bCs/>
          <w:sz w:val="24"/>
          <w:szCs w:val="24"/>
        </w:rPr>
        <w:t>НА 2025 - 2030 ГОДЫ»</w:t>
      </w:r>
    </w:p>
    <w:p w:rsidR="00474878" w:rsidRPr="00E75B85" w:rsidRDefault="00474878" w:rsidP="004748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878" w:rsidRPr="00E75B85" w:rsidRDefault="00474878" w:rsidP="0047487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E75B85">
        <w:rPr>
          <w:rFonts w:ascii="Times New Roman" w:hAnsi="Times New Roman" w:cs="Times New Roman"/>
          <w:bCs/>
          <w:sz w:val="24"/>
          <w:szCs w:val="24"/>
        </w:rPr>
        <w:t>Паспорт муниципальной программы</w:t>
      </w:r>
    </w:p>
    <w:p w:rsidR="00474878" w:rsidRPr="00E75B85" w:rsidRDefault="00474878" w:rsidP="0047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75B85">
        <w:rPr>
          <w:rFonts w:ascii="Times New Roman" w:hAnsi="Times New Roman" w:cs="Times New Roman"/>
          <w:bCs/>
          <w:sz w:val="24"/>
          <w:szCs w:val="24"/>
        </w:rPr>
        <w:t>«Благоустройство территории городского округа Тольятти</w:t>
      </w:r>
    </w:p>
    <w:p w:rsidR="00474878" w:rsidRPr="00E75B85" w:rsidRDefault="00474878" w:rsidP="0047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75B85">
        <w:rPr>
          <w:rFonts w:ascii="Times New Roman" w:hAnsi="Times New Roman" w:cs="Times New Roman"/>
          <w:bCs/>
          <w:sz w:val="24"/>
          <w:szCs w:val="24"/>
        </w:rPr>
        <w:t>на 2025 - 2030 годы»</w:t>
      </w:r>
    </w:p>
    <w:p w:rsidR="00474878" w:rsidRPr="00E75B85" w:rsidRDefault="00474878" w:rsidP="0047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244"/>
        <w:gridCol w:w="5329"/>
      </w:tblGrid>
      <w:tr w:rsidR="00474878" w:rsidRPr="00E75B8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«Благоустройство территории городского округа Тольятти на 2025 - 2030 годы» (далее - Программа)</w:t>
            </w:r>
          </w:p>
        </w:tc>
      </w:tr>
      <w:tr w:rsidR="00474878" w:rsidRPr="00E75B8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распоряжения мэрии городского округа Тольятти о разработке муниципальной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 мэрии городского округа Тольятти от 16.02.2017 № 597-п/1 (в ред. от 19.02.202</w:t>
            </w:r>
            <w:r w:rsidR="00210BBD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 </w:t>
            </w:r>
            <w:r w:rsidR="00210BBD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307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-п/1)</w:t>
            </w:r>
          </w:p>
        </w:tc>
      </w:tr>
      <w:tr w:rsidR="00474878" w:rsidRPr="00E75B85"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BBD" w:rsidRPr="00E75B85" w:rsidRDefault="00210BBD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75B8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Постановление Правительства Самарской области от 17.05.2017 № 323 «Об утверждении государственной программы Самарской области «Поддержка инициатив населения муниципальных образований в Самарской области» и установлении отдельных расходных обязательств Самарской области».</w:t>
            </w:r>
          </w:p>
          <w:p w:rsidR="00210BBD" w:rsidRPr="00E75B85" w:rsidRDefault="00210BBD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Самарской области от 31.08.2018 № 522 «Об утверждении государственной программы Самарской области "Совершенствование системы обращения с отходами, в том числе с твердыми коммунальными отходами, на территории Самарской области" и установлении отдельных расходных обязательств Самарской области»</w:t>
            </w:r>
          </w:p>
        </w:tc>
      </w:tr>
      <w:tr w:rsidR="00474878" w:rsidRPr="00E75B8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474878" w:rsidRPr="00E75B8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Заказчики муниципальной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 городского хозяйства ад</w:t>
            </w:r>
            <w:r w:rsidR="00210BBD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министрации (далее - ДГХ).</w:t>
            </w:r>
          </w:p>
        </w:tc>
      </w:tr>
      <w:tr w:rsidR="00474878" w:rsidRPr="00E75B85"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Цель Программы:</w:t>
            </w:r>
          </w:p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соответствия городских общественных пространств высоким стандартам качества городской среды и качества досуга жителей.</w:t>
            </w:r>
          </w:p>
          <w:p w:rsidR="00474878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Программы:</w:t>
            </w:r>
          </w:p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 Обеспечение комплексного благоустройства внутриквартальных территорий.</w:t>
            </w:r>
          </w:p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6B765F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комплексного благоустройства знаковых и социально значимых мест, организация новых и восстановление существующих мест отдыха на внутриквартальных территориях.</w:t>
            </w:r>
          </w:p>
          <w:p w:rsidR="006B765F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6B765F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Обустройство мест массового отдыха на береговых зонах водных объектов</w:t>
            </w:r>
          </w:p>
          <w:p w:rsidR="006B765F" w:rsidRPr="00E75B85" w:rsidRDefault="006B765F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474878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отдельных видов работ по общественным проектам развития территорий, предусмотренных государственной программой Самарской области «Поддержка инициатив населения муниципальных образований в Самарской области», по инициативным проектам на территории городского округа Тольятти</w:t>
            </w:r>
          </w:p>
          <w:p w:rsidR="00474878" w:rsidRPr="00E75B85" w:rsidRDefault="006B765F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74878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 мест санкционированного размещения твердых коммунальных отходов на территории городского округа Тольятти</w:t>
            </w:r>
          </w:p>
        </w:tc>
      </w:tr>
      <w:tr w:rsidR="00474878" w:rsidRPr="00E75B8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6B765F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- 20</w:t>
            </w:r>
            <w:r w:rsidR="006B765F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474878" w:rsidRPr="00E75B85" w:rsidTr="0047487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из бюджета Самарской области, и средств из внебюджетных источников.</w:t>
            </w:r>
          </w:p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бюджетных ассигнований на финансовое о</w:t>
            </w:r>
            <w:r w:rsidR="00F12BBB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беспечение реализации Программы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составит </w:t>
            </w:r>
            <w:r w:rsidR="00DF006E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901 9</w:t>
            </w:r>
            <w:r w:rsidR="0064587A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руб., из них:</w:t>
            </w:r>
          </w:p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местный бюджет </w:t>
            </w:r>
            <w:r w:rsidR="00204D08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F006E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885 345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руб.;</w:t>
            </w:r>
          </w:p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внебюджетные источники </w:t>
            </w:r>
            <w:r w:rsidR="00204D08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04D08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16 57</w:t>
            </w:r>
            <w:r w:rsidR="00DF006E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</w:t>
            </w:r>
          </w:p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бюджетных ассигнований на финансовое обеспечение реализации Программы  за счет всех источников по годам составит: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2025 год – 86 471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2026 год – 75 639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2027 год – 219 150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2028 год – 182 957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2029 год – 188 046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2030 год – 149 656 тыс. руб.</w:t>
            </w:r>
          </w:p>
          <w:p w:rsidR="00F12BBB" w:rsidRPr="00E75B85" w:rsidRDefault="00F12BBB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бюджетных ассигнований на финансовое обеспечение реализации Программы  за счет бюджетных средств с учетом планируемых к поступлению средств вышестоящих бюджетов: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2025 год – 83 708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2026 год – 72 876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2027 год – 216 387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2028 год – 180 194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2029 год – 185 283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2030 год – 146 897 тыс. руб.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бюджетных ассигнований на финансовое обеспечение реализации Программы  за счет внебюджетных средств: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2025 год – 2 763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2026 год – 2 763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2027 год – 2 763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2028 год – 2 763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2029 год – 2 763 тыс. руб.;</w:t>
            </w:r>
          </w:p>
          <w:p w:rsidR="00474878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2030 год – 2 759 тыс. руб.</w:t>
            </w:r>
          </w:p>
        </w:tc>
      </w:tr>
      <w:tr w:rsidR="00474878" w:rsidRPr="00E75B85" w:rsidTr="00474878">
        <w:trPr>
          <w:trHeight w:val="31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- повышение комфортности условий проживания граждан на территории городского округа Тольятти;</w:t>
            </w:r>
          </w:p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- улучшение условий массового отдыха жителей и гостей городского округа Тольятти;</w:t>
            </w:r>
          </w:p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- улучшение эстетического состояния территории городского округа Тольятти;</w:t>
            </w:r>
          </w:p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- повышение уровня благоустройства территорий городского округа Тольятти</w:t>
            </w:r>
          </w:p>
        </w:tc>
      </w:tr>
    </w:tbl>
    <w:p w:rsidR="00B96B78" w:rsidRPr="00E75B85" w:rsidRDefault="00B96B78">
      <w:pPr>
        <w:pStyle w:val="ConsPlusTitle"/>
        <w:jc w:val="center"/>
        <w:outlineLvl w:val="0"/>
      </w:pPr>
    </w:p>
    <w:p w:rsidR="00B96B78" w:rsidRPr="00E75B85" w:rsidRDefault="00B96B78">
      <w:pPr>
        <w:pStyle w:val="ConsPlusTitle"/>
        <w:jc w:val="center"/>
        <w:outlineLvl w:val="0"/>
      </w:pPr>
    </w:p>
    <w:p w:rsidR="0064587A" w:rsidRPr="00E75B85" w:rsidRDefault="0064587A" w:rsidP="00F12BB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70609" w:rsidRPr="00E75B85" w:rsidRDefault="00170609" w:rsidP="00F12BB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I. Анализ проблемы и обоснование ее решения</w:t>
      </w:r>
    </w:p>
    <w:p w:rsidR="00170609" w:rsidRPr="00E75B85" w:rsidRDefault="00170609" w:rsidP="00F12BBB">
      <w:pPr>
        <w:pStyle w:val="ConsPlusTitle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в соответствии с программно-целевым принципом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Тольятти сформировался из трех обособленных планировочных районов, застройка которых происходила в разное время. Как и повсеместно, в нашем городе происходило постоянное отставание развития благоустройства от жилищного строительства. В результате этого благоустройство территорий большого количества жилых кварталов не соответствует современному уровню жизни. </w:t>
      </w: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результаты инвентаризации внутриквартальных территорий показали, что вследствие целого ряда причин, таких как естественное старение твердых покрытий, малых архитектурных форм (далее - МАФ) и зеленых насаждений, некачественное восстановление элементов благоустройства после проведения ремонтных работ на инженерных сетях, недостаточная социальная ответственность населения и порой неудовлетворительное содержание привели к тому, что существующее состояние благоустройства территории не соответствует </w:t>
      </w:r>
      <w:hyperlink r:id="rId8" w:history="1">
        <w:r w:rsidRPr="00E75B8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Правилам</w:t>
        </w:r>
      </w:hyperlink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благоустройства, утвержденным решением Думы</w:t>
      </w:r>
      <w:proofErr w:type="gram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Тольятти Самарской области от 04.07.2018 № 1789 (далее - Правила благоустройства): твердые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покрытия нуждаются в восстановлении, число существующих МАФ не отвечает потребностям населения ввиду естественного старения, необходимо удалить большое количество сухостойных и аварийно опасных деревьев</w:t>
      </w:r>
      <w:r w:rsidR="00C61F81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</w:t>
      </w:r>
      <w:r w:rsidR="00C61F81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омолаживающую обрезку.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благоустройства в городском округе Тольятти систематизированы в данной Программе, которые можно разделить по следующим направлениям: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Обеспечение комплексного благоустройства внутриквартальных территорий.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Комфортность проживания в многоквартирных домах определяется, в том числе уровнем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благоустройства внутриквартальных территорий. Для создания благоприятных и безопасных условий для жителей внутриквартальная территория должна иметь в шаговой доступности детскую</w:t>
      </w:r>
      <w:r w:rsidR="00C61F81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площадку</w:t>
      </w:r>
      <w:r w:rsidR="00B70189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спортивно-игровую площадку, элементы озеленения, дорогу с твердым покрытием,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искусственное освещение в вечернее и ночное время, парковку индивидуального транспорта, обустроенное место для сбора и временного хранения мусора.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Покрытия поверхности обеспечивают на территории городского округа условия безопасного и комфортного передвижения, а также формируют архитектурно-художественный облик городского округа. Для целей благоустройства территории определены следующие виды покрытий: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твердые (капитальные) - монолитные или сборные, выполняемые из асфальтобетона, </w:t>
      </w:r>
      <w:proofErr w:type="spell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цементобетона</w:t>
      </w:r>
      <w:proofErr w:type="spell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природного камня и тому подобных материалов;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2) мягкие (некапитальные), выполняемые из природных или искусственных сыпучих материалов (песок, щебень, гранитные высевки, керам</w:t>
      </w:r>
      <w:r w:rsidR="00B70189"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зит, резиновая крошка и другие)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газонные, выполняемые по специальным технологиям подготовки и посадки травяного покрова;</w:t>
      </w:r>
    </w:p>
    <w:p w:rsidR="00B70189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комбинированные, представляющие сочетания покрытий, указанных выше</w:t>
      </w:r>
      <w:r w:rsidR="00B70189"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5) грунтовые.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десяти последних лет в рамках выделяемого бюджетного финансирования велась работа по восстановлению и ремонту твердых покрытий. За период с 2015 по 2023 года выполнены работы по ремонту, восстановлению и устройству твердых покрытий тротуаров и проездов более чем на 350 территориях. Однако, учитывая физическое старение автомобильных дорог и тротуаров, в процессе изнашивающего и разрушающего воздействия транспортных средств, а также неблагоприятных </w:t>
      </w:r>
      <w:proofErr w:type="spell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погодно</w:t>
      </w:r>
      <w:proofErr w:type="spell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-климатических условий, потребность по восстановлению твердых покрытий возрастает с каждым годом.</w:t>
      </w:r>
    </w:p>
    <w:p w:rsidR="00007724" w:rsidRPr="00E75B85" w:rsidRDefault="00007724" w:rsidP="00E75B85">
      <w:pPr>
        <w:widowControl w:val="0"/>
        <w:autoSpaceDE w:val="0"/>
        <w:autoSpaceDN w:val="0"/>
        <w:spacing w:before="12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Освещение внутриквартальных территорий - это не только комфорт и безопасность людей в темное время суток, но и инструмент, позволяющий модернизировать эстетическое восприятие городской среды.</w:t>
      </w:r>
      <w:r w:rsidR="00B70189"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темное время суток повышается вероятность противоправных действий, что необходимо учитывать при организации освещения жилых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районов.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от градостроительных условий предусматривается функциональное, архитектурное и информационное освещение с целью решения утилитарных, светопланировочных и светокомпозиционных задач, в том числе при необходимости светоцветового зонирования территорий городского округа и формирования системы </w:t>
      </w:r>
      <w:proofErr w:type="spell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светопространственных</w:t>
      </w:r>
      <w:proofErr w:type="spell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ансамблей.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реализации мероприятия по ремонту, восстановлению и устройству внутриквартального освещения назрела давно и диктуется, прежде всего, следующими причинами: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сегодняшний облик ночного города не удовлетворяет общепризнанным стандартам развитых городов, что особенно отмечается гостями Тольятти;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необходимость снижения уровня криминогенной активности, проявления которой </w:t>
      </w: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связаны</w:t>
      </w:r>
      <w:proofErr w:type="gram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и с недостаточным освещением дворовых и внутриквартальных территорий;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существующем уровне финансирования текущих темпов работ по устройству сетей наружного освещения внутриквартальных территорий не хватает;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необходимость ухода от освещения придомовых территорий светильниками, расположенными на фасадах жилых домов, затраты по которым ложатся на собственников жилых помещений.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мероприятия обеспечит достижение положительной динамики изменения степени благоустройства города, обеспечит надежную работу наружного освещения внутриквартальных территорий городского округа Тольятти.</w:t>
      </w:r>
    </w:p>
    <w:p w:rsidR="00007724" w:rsidRPr="00E75B85" w:rsidRDefault="00007724" w:rsidP="00E75B85">
      <w:pPr>
        <w:widowControl w:val="0"/>
        <w:autoSpaceDE w:val="0"/>
        <w:autoSpaceDN w:val="0"/>
        <w:spacing w:before="12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благоустройства на территории городского округа при создании МАФ необходимо использовать принципы функционального разнообразия, комфортной среды для общения, гармонии с природой в части обеспечения разнообразия визуального облика территории, различных видов социальной активности и коммуникаций между людьми, применения </w:t>
      </w:r>
      <w:proofErr w:type="spell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экологичных</w:t>
      </w:r>
      <w:proofErr w:type="spell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материалов, привлечения людей к активному и здоровому времяпрепровождению.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Игровое оборудование должно соответствовать требованиям санитарно-гигиенических норм, охраны жизни и здоровья ребенка, быть удобным в технической эксплуатации, эстетически привлекательным. Допускается применять модульное оборудование, обеспечивающее вариантность сочетаний элементов. 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Спортивное оборудование предназначено для всех возрастных групп населения, размещается на спортивных, физкультурных площадках либо на специально оборудованных пешеходных коммуникациях (тропы здоровья) в составе рекреаций. Спортивное оборудование в виде специальных физкультурных снарядов и тренажеров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может быть как заводского изготовления, так и выполненным из бревен и брусьев со специально обработанной поверхностью, исключающей получение травм (отсутствие трещин, сколов и тому подобное). 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 с 2015 по 2023 год на территории городского округа Тольятти  установлено более 300 детского игрового и спортивного оборудования, МАФ, но, несмотря на большой объем устанавливаемого оборудования, потребность в ремонте, восстановлении и устройстве детских площадок и установке МАФ сохраняется. В соответствии с пунктом 44 Технического регламента Евразийского экономического союза «О безопасности оборудования для детских игровых площадок», утвержденного решением Совета Евразийской экономической комиссии от 17.05.2017 № 21, по истечении назначенного срока службы (заявленного в паспорте изделия) эксплуатация оборудования  должна быть прекращена независимо от технического состояния оборудования.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Комфортная городская среда для людей также заключается в организации удобного проживания с животными, в том числе в постройке площадки для выгула, дрессировки и занятий спортом с питомцем. Одной из острых проблем на сегодняшний день является организация инфраструктуры для выгула домашних животных. Из-за дефицита мест выгула собак выгуливают там, где это делать не допускается, например, на детской площадке, во дворе дома, загрязняя при этом общественные пространства, нередки ситуации с нападением собак на детей, случайных прохожих (поскольку собаки очень часто выгуливаются без намордников). Это приводит к дополнительным конфликтам между взрослыми, а дети получают психологическую травму, формируется </w:t>
      </w:r>
      <w:proofErr w:type="spell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собакобоязнь</w:t>
      </w:r>
      <w:proofErr w:type="spell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Площадки для выгула собак должны размещаться на территориях общего пользования, свободных от зеленых насаждений, в зонах общегородских магистралей 1-го класса, под линиями электропередачи (далее - ЛЭП) с напряжением не более 110 кВт, за пределами санитарной зоны источников водоснабжения первого и второго поясов, а также в местах сложившегося выгула собак. 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 в рамках реконструкции набережной Автозаводского района Тольятти была установлена площадка для собак. В 2023 году на территории Эко-Парка Шлюзовой была устроена площадка для выгула и дрессировки собак под названием «Пес культурный». Учитывая популяцию домашних животных, которая имеет долговременные тенденции к росту, необходимо продолжить работу по устройству площадок для выгула, дрессировки и занятий спортом с домашними животными.</w:t>
      </w:r>
    </w:p>
    <w:p w:rsidR="00007724" w:rsidRPr="00E75B85" w:rsidRDefault="00007724" w:rsidP="00E75B85">
      <w:pPr>
        <w:widowControl w:val="0"/>
        <w:autoSpaceDE w:val="0"/>
        <w:autoSpaceDN w:val="0"/>
        <w:spacing w:before="12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городских зеленых насаждений неудовлетворительно. Это вызвано целым рядом причин: быстрым темпом застройки, особенностью градостроительства, недостаточной культурой населения, загрязнением воздушной среды, недостаточным количеством финансирования, выделяемого на озеленение города (финансирование работ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озеленению за период с 2015 по 2023 год предусмотрено не было, работы производились только в рамках благотворительных акций). Кроме того, в Центральном районе и в старых кварталах Автозаводского и Комсомольского районов при благоустройстве и озеленении внутриквартальных территорий допущены нарушения строительных норм и правил при посадке деревьев: расстояние от стен домов до стволов деревьев менее 5 м и часто составляет 1 - 3 м; </w:t>
      </w: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расстояния между деревьями также менее 5 м, в результате чего деревья растут с деформированными (отклоненными) стволами и ветвями и в настоящее время представляют собой фактор не комфортности среды, а фактор аварийной опасности для ЛЭП, газопроводов, трубопроводов, подземных коммуникаций, а также вызывают разрушения отмосток зданий, твердых покрытий, затеняют окна, засоряют ливневые канализации, сточные трубы, угрожают целостности кровель домов, а также жизни</w:t>
      </w:r>
      <w:proofErr w:type="gram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людей. Следует также учесть, что видовой ассортимент деревьев, посаженных в основной массе в 60 - 70-х годах, также не соответствует стандартам отрасли: в Центральном и Комсомольском районах основную массу средн</w:t>
      </w: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старовозрастных</w:t>
      </w:r>
      <w:proofErr w:type="spell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деревьев составляют такие породы, как вяз мелколистный (карагач), тополь бальзамический (пылящий). Карагач и клен </w:t>
      </w:r>
      <w:proofErr w:type="spell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ясенелистный</w:t>
      </w:r>
      <w:proofErr w:type="spell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городского округа Тольятти являются сорными породами; деревья карагача в основной массе поражены гнилью ствола, что делает их еще более аварийно опасными. Очевидно, что возникла необходимость замены существующих устаревших насаждений на более молодые, декоративные, устойчивые к вредителям и болезням, с необходимым условием соблюдения строительных норм и правил при посадке.</w:t>
      </w:r>
    </w:p>
    <w:p w:rsidR="00007724" w:rsidRPr="00E75B85" w:rsidRDefault="00007724" w:rsidP="00E75B85">
      <w:pPr>
        <w:widowControl w:val="0"/>
        <w:autoSpaceDE w:val="0"/>
        <w:autoSpaceDN w:val="0"/>
        <w:spacing w:before="24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Обеспечение комплексного благоустройства знаковых и социально значимых мест, организация новых и восстановление существующих мест отдыха на внутриквартальных территориях.</w:t>
      </w:r>
    </w:p>
    <w:p w:rsidR="00007724" w:rsidRPr="00E75B85" w:rsidRDefault="00965255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наковыми и социально значимыми местами городского округа Тольятти (далее - знаковые и социально значимые места городского округа) являются расположенные на территории городского округа Тольятти территории общего пользования, объекты физической культуры и спорта, имеющие особое социальное значение для городского округа Тольятти; мемориальные комплексы, памятные знаки, установленные на площадях, улицах, в парках, скверах, на других открытых территориях или находящиеся на фасадах и внутри зданий и сооружений, обладающие исторической и культурной значимостью, иными памятными и отличительными признаками</w:t>
      </w:r>
      <w:r w:rsidR="00007724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территории общего пользования - территории (земельные участки), которыми беспрепятственно пользуется неограниченный круг лиц (в том числе площади, улицы, парки, лесопарки, набережные, пляжи, скверы, сады, бульвары, территории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мемориальных комплексов);</w:t>
      </w:r>
      <w:proofErr w:type="gramEnd"/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объекты физической культуры и спорта - объекты недвижимого имущества или комплексы недвижимого имущества, специально предназначенные для проведения физкультурных мероприятий и (или) спортивных мероприятий, в том числе спортивные сооружения;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мемориальные комплексы - архитектурные сооружения, воздвигнутые для увековечения памяти о каком-либо лице или событии;</w:t>
      </w:r>
    </w:p>
    <w:p w:rsidR="00965255" w:rsidRDefault="00965255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памятные знаки - скульптуры, скульптурные композиции, живописные и мозаичные панно, декоративное убранство зданий и сооружений, витражи, произведения, выполненные в иных художественно-архитектурных формах и техниках, водные устройства (фонтаны, декоративные водоемы), а также установленные в качестве памятника технические устройства (паровозы, автомобили, танки, пушки, самолеты и т.п.) и их части.</w:t>
      </w:r>
      <w:proofErr w:type="gramEnd"/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знаковых и социально значимых мест (далее - Перечень) формируется на основании Положения о знаковых и социально значимых местах городского округа Тольятти, утвержденным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</w:t>
      </w:r>
      <w:r w:rsidR="00C61F81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Тольятти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09.07.2014 № 388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Основными критериями отбора знаковых и социально значимых мест для формирования Перечня являются: наличие исторической и культурной значимости, иных памятных и отличительных признаков знакового и социально значимого места городского округа в деятельности городского округа, в истории, науке, технике, искусстве, культуре, здравоохранении и спорте, имеющих долговременную пользу для муниципального образования.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Знаковые места находятся в разных районах и существенно влияют на создание имиджа городского округа в целом.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реализации муниципальной программы «Благоустройство территории городского округа Тольятти на 2015-2024 годы»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65255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 постановлением мэрии городского округа Тольятти от 24.03.2015 № 905-п/1</w:t>
      </w:r>
      <w:r w:rsid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65255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выполнено благоустройство выставочного зала в честь 50-летия </w:t>
      </w:r>
      <w:proofErr w:type="spell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АВТОВАЗа</w:t>
      </w:r>
      <w:proofErr w:type="spell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выпуска первого легкового автомобиля со сквером, игровыми площадками и фонтаном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вокруг садово-парковой композиции Пальмиро Тольятти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сквера Центральной площади (скульптурная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композиция Николай Чудотворец);</w:t>
      </w:r>
      <w:proofErr w:type="gram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территории, прилегающ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стеле «Радость труда»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выполнено устройство постамента под Бюст-памятник С.П. Корол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еву, по адресу: б-р Королева, 3;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МБУ школы №49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кольцевой развязке ул. Борковская и Южного шоссе выполнена архитектурная подсветка стелы Ладья и прилегающей территории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площадки боевой техники в парке Победы выполнено устройство твердых покрытий тротуаров, ремонт техники, озеленение, ремонт освещения.</w:t>
      </w:r>
      <w:proofErr w:type="gramEnd"/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Несмотря на проделанную работу, в настоящее время большинство знаковых мест находится в неудовлетворительном состоянии: частично разрушены сами памятники, а также покрытие прилегающей территории; неухоженный вид зеленых насаждений. Обустройство знаковых мест планируется выполнять с учетом символики и традиций города в едином стиле. 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ускоряющимся ритмом жизни и глобальной урбанизацией городов естественный потенциал человека стремится к преодолению замыкания в жилой и производственной среде обитания. Население всеми силами стремится к комфортному отдыху в искусственно созданных или в естественных островках природы.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организации новых мест отдыха горожан в рамках реализации Программы устраиваются зоны отдыха - рекреационные центры, которые включают в себя зоны активного и пассивного отдыха: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паркового назначения для пассивного отдыха, с размещением МАФ;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зоны с размещением МАФ и детского игрового оборудования для детей 3 - 6 лет и 7 - 12 лет;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зоны с размещением МАФ и спортивного оборудования, в том числе тренажерных площадок для детей, подростков и взрослых;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зоны с размещением спортивно-игрового оборудования для маломобильных групп населения.</w:t>
      </w:r>
    </w:p>
    <w:p w:rsidR="0064587A" w:rsidRPr="00E75B85" w:rsidRDefault="00007724" w:rsidP="00E75B85">
      <w:pPr>
        <w:widowControl w:val="0"/>
        <w:autoSpaceDE w:val="0"/>
        <w:autoSpaceDN w:val="0"/>
        <w:spacing w:before="12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перечень мероприятий по благоустройству входит установка скамеек, урн, освещения и ограждений, а также благоустройство прилегающей территории. При проведении работ по благоустройству бульваров предполагается произвести санитарно-оздоровительные мероприятия по уходу за существующими насаждениями. Они направлены на сохранение и восстановление частично утраченных экологических функций и ландшафтной привлекательности зеленых насаждений, обеспечение безопасности пребывания на территории. Красивый и ухоженный газон - один из важнейших компонентов ландшафта, а дополняют его газонные ограждения, выделяя газон визуально и защищая его от </w:t>
      </w:r>
      <w:proofErr w:type="spell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вытаптывания</w:t>
      </w:r>
      <w:proofErr w:type="spell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транспорта, выгула животных в неположенных местах. Разбивка цветников внесет ландшафтное разнообразие, придаст территории бульвара живой, красочный вид, а также обогатит и выделит существующий рельеф. Объекты озеленения будут обеспечены поливочной системой. На тротуарной части предполагается произвести установку скамеек. Возле каждой скамейки устанавливаются урны для мусора, что позволит предотвратить захламление газонов. </w:t>
      </w:r>
    </w:p>
    <w:p w:rsidR="00007724" w:rsidRPr="00E75B85" w:rsidRDefault="00007724" w:rsidP="00E75B85">
      <w:pPr>
        <w:widowControl w:val="0"/>
        <w:autoSpaceDE w:val="0"/>
        <w:autoSpaceDN w:val="0"/>
        <w:spacing w:before="12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Уличная урна для сбора мусора считается одним из самых важных элементов для благоустройства территории и борьбы с мусором. Установка фонарей обезопасит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передвижение пешеходов в темное время суток и придаст бульвару дополнительный эстетический вид. Фонари планируется выполнять в антивандальном исполнении с использованием энергосберегающих ламп для снижения потребления электроэнергии и увеличения срока их службы.</w:t>
      </w:r>
    </w:p>
    <w:p w:rsidR="00007724" w:rsidRPr="00E75B85" w:rsidRDefault="00007724" w:rsidP="00E75B85">
      <w:pPr>
        <w:widowControl w:val="0"/>
        <w:autoSpaceDE w:val="0"/>
        <w:autoSpaceDN w:val="0"/>
        <w:spacing w:before="12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2019 году в рамках реализации конкурса «Наш микрорайон», выполнены работы по организации новых и восстановлению существующих мест отдыха на 42 внутриквартальных территориях. 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Организацию, подготовку, проведение и подведение итогов Конкурса осуществляли координационные советы микрорайонов. 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Конкурса являлось вовлечение жителей города в разработку и реализацию проектов по развитию дворовой/общественной территории, улучшение эстетического облика территории городского округа Тольятти.</w:t>
      </w:r>
    </w:p>
    <w:p w:rsidR="00007724" w:rsidRPr="00E75B85" w:rsidRDefault="00007724" w:rsidP="00E75B85">
      <w:pPr>
        <w:widowControl w:val="0"/>
        <w:autoSpaceDE w:val="0"/>
        <w:autoSpaceDN w:val="0"/>
        <w:spacing w:before="12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Обустройство мест массового отдыха на береговых зонах водных объектов.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Тольятти расположен на левом берегу реки Волга с протяженностью береговой линии более 20 км. Береговая полоса городского округа сложена из берегоукреплений, портовых и судоходных гидротехнических сооружений, с естественными склонами.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Волжско-Камским каскадом Гидроэлектростанций (далее – ГЭС) образованы Куйбышевское и Саратовское водохранилища, которые прилегают к границам городского округа Тольятти. В районе Комсомольского района водохранилища разделены гидроузлом «Жигулевской ГЭС». Городские районы обеспечены выходами к набережным каждого района.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Автозаводской, Центральный и Комсомольский районы в зоне воздействия Куйбышевского водохранилища. 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гидроузлом «Жигулевской ГЭС» территория Комсомольского района, в границах микрорайонов Федоровка, </w:t>
      </w: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Тракторный</w:t>
      </w:r>
      <w:proofErr w:type="gram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Шлюзовой, а также полуострова Копылово в зоне воздействия Саратовского водохранилища.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муниципальной собственности находятся следующие гидротехнические сооружения:</w:t>
      </w:r>
    </w:p>
    <w:p w:rsidR="00007724" w:rsidRPr="00E75B85" w:rsidRDefault="00007724" w:rsidP="00E75B85">
      <w:pPr>
        <w:widowControl w:val="0"/>
        <w:numPr>
          <w:ilvl w:val="0"/>
          <w:numId w:val="1"/>
        </w:numPr>
        <w:autoSpaceDE w:val="0"/>
        <w:autoSpaceDN w:val="0"/>
        <w:spacing w:after="0" w:line="34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«Берегоукрепление Куйбышевского водохранилища в районе набережной Ком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сомольского района г. Тольятти».</w:t>
      </w:r>
    </w:p>
    <w:p w:rsidR="00007724" w:rsidRPr="00E75B85" w:rsidRDefault="00007724" w:rsidP="00E75B85">
      <w:pPr>
        <w:widowControl w:val="0"/>
        <w:numPr>
          <w:ilvl w:val="0"/>
          <w:numId w:val="1"/>
        </w:numPr>
        <w:autoSpaceDE w:val="0"/>
        <w:autoSpaceDN w:val="0"/>
        <w:spacing w:after="0" w:line="34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«Берегоукрепление Куйбышевского водохранилища в районе набережной Ц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ентрального района г. Тольятти».</w:t>
      </w:r>
    </w:p>
    <w:p w:rsidR="00007724" w:rsidRPr="00E75B85" w:rsidRDefault="00007724" w:rsidP="00E75B85">
      <w:pPr>
        <w:widowControl w:val="0"/>
        <w:numPr>
          <w:ilvl w:val="0"/>
          <w:numId w:val="1"/>
        </w:numPr>
        <w:autoSpaceDE w:val="0"/>
        <w:autoSpaceDN w:val="0"/>
        <w:spacing w:after="0" w:line="34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«Гидротехнические сооружения дамбы на полуострове Копылово Ком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сомольского района г. Тольятти».</w:t>
      </w:r>
    </w:p>
    <w:p w:rsidR="00007724" w:rsidRPr="00965255" w:rsidRDefault="00007724" w:rsidP="00E75B85">
      <w:pPr>
        <w:widowControl w:val="0"/>
        <w:numPr>
          <w:ilvl w:val="0"/>
          <w:numId w:val="1"/>
        </w:numPr>
        <w:autoSpaceDE w:val="0"/>
        <w:autoSpaceDN w:val="0"/>
        <w:spacing w:after="0" w:line="34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«Пирс в Ав</w:t>
      </w:r>
      <w:r w:rsidR="00C61F81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тозаводском районе г. Тольятти».</w:t>
      </w:r>
    </w:p>
    <w:p w:rsidR="00007724" w:rsidRPr="0096525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комплекс объекта «Набережная Автозаводского района с объектами инженерно-технического обеспечения и элементами благоустройства» находится в реконструкции с 2022 года. Данный объект планируется к передаче в муниципальную собственность до 2030 год</w:t>
      </w:r>
      <w:r w:rsidR="00C61F81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 завершения реконструкции.</w:t>
      </w:r>
    </w:p>
    <w:p w:rsidR="00007724" w:rsidRPr="0096525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безопасной эксплуатации гидротехнических сооружений и соблюдения требований законодательства: </w:t>
      </w:r>
      <w:proofErr w:type="gramStart"/>
      <w:r w:rsidR="00C61F81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Водного кодекса Российской Федерации,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</w:t>
      </w:r>
      <w:r w:rsidR="006C11FE" w:rsidRPr="006C11F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6C11F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C11FE" w:rsidRPr="006C11F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C11FE">
        <w:rPr>
          <w:rFonts w:ascii="Times New Roman" w:eastAsia="Times New Roman" w:hAnsi="Times New Roman" w:cs="Times New Roman"/>
          <w:sz w:val="24"/>
          <w:szCs w:val="24"/>
          <w:lang w:eastAsia="ru-RU"/>
        </w:rPr>
        <w:t>.1997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117-ФЗ «О безопасности гидротехнических сооружений», Федерального закона от 27.07.2010 № 225-ФЗ «Об обязательном страховании гражданской ответственности владе</w:t>
      </w:r>
      <w:bookmarkStart w:id="0" w:name="_GoBack"/>
      <w:bookmarkEnd w:id="0"/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льца опасного объекта за причинение вреда в результ</w:t>
      </w:r>
      <w:r w:rsidR="00C61F81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 аварии на опасном объекте»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сопутствующих требований законодательства РФ, с целью надлежащей эксплуатации необходимо проведение постоянных плановых мероприятий, на которые необходимо предусматривать финансирование.</w:t>
      </w:r>
      <w:proofErr w:type="gramEnd"/>
    </w:p>
    <w:p w:rsidR="00007724" w:rsidRPr="0096525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соблюдения чистоты и порядка на объектах и прилегающей территории необходимо проведение санитарного содержания береговой зоны, сбор и вывоз мусора, очистки системы поверхностного водоотвода гидротехнических сооружений, обслуживание входных и выходных оголовков водопропускных сооружений. </w:t>
      </w:r>
    </w:p>
    <w:p w:rsidR="00007724" w:rsidRPr="0096525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Определены и требуют развития береговые зоны для обустройства и открытия безопасных мест купания и отдыха населения на водоемах (пляжей):</w:t>
      </w:r>
    </w:p>
    <w:p w:rsidR="00007724" w:rsidRPr="00965255" w:rsidRDefault="00007724" w:rsidP="00E75B85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34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«Волжский замок», расположенный южнее здания № 1а по ул. </w:t>
      </w:r>
      <w:proofErr w:type="gramStart"/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Нагорной</w:t>
      </w:r>
      <w:proofErr w:type="gramEnd"/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Цен</w:t>
      </w:r>
      <w:r w:rsidR="00C61F81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тральном районе города Тольятти.</w:t>
      </w:r>
    </w:p>
    <w:p w:rsidR="00007724" w:rsidRPr="00E75B85" w:rsidRDefault="00007724" w:rsidP="00E75B85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34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«Итальянский пляж», расположенный по Лесопарковому шоссе, участок 15В, в Центральном районе города Тольятти.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перспективе планируется обустройство и подготовка иных территорий береговой зоны с целью развития туризма, досуга, спорта и мест рекреации населения.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с учетом сложности геологического строения прибрежной территории, </w:t>
      </w:r>
      <w:r w:rsidRPr="00EC4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развития </w:t>
      </w:r>
      <w:r w:rsidR="00EC4E98" w:rsidRPr="00EC4E98">
        <w:rPr>
          <w:rFonts w:ascii="Times New Roman" w:eastAsia="Times New Roman" w:hAnsi="Times New Roman" w:cs="Times New Roman"/>
          <w:sz w:val="24"/>
          <w:szCs w:val="24"/>
          <w:lang w:eastAsia="ru-RU"/>
        </w:rPr>
        <w:t>эрозион</w:t>
      </w:r>
      <w:r w:rsidRPr="00EC4E98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процессов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сильного волнового и ветрового воздействия на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береговую зону от водохранилищ, основной задачей для принятия рациональных решений </w:t>
      </w:r>
      <w:r w:rsidR="00274BAA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периодических инженерных, геодезических, геологических, гидрологических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изысканий, экспертиз и научных исследований в рамках проектно-изыскательских работ и обследований. 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рассмотрения вопросов улучшения экологической и техногенной ситуации программу изысканий необходимо планировать по условиям эксплуатации объектов, выявлении проблемных вопросов и текущей жизнедеятельности на прилегающей территории к водным объектам.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Территории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пользования, муниципальные гидротехнические сооружения и объекты в береговой зоне требует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ряда мероприятий по развитию, благоустройству, ремонту, мониторингу состояния, содержанию и эксплуатации объектов капитальных сооружении, инженерных коммуникаций, мест купания и отдыха населения на водоемах. Для реализации поставленных задач необходимо предусматривать соответствующие периодические мероприятия программным методом.</w:t>
      </w:r>
    </w:p>
    <w:p w:rsidR="00007724" w:rsidRPr="00E75B85" w:rsidRDefault="00007724" w:rsidP="00E75B85">
      <w:pPr>
        <w:widowControl w:val="0"/>
        <w:autoSpaceDE w:val="0"/>
        <w:autoSpaceDN w:val="0"/>
        <w:spacing w:before="12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Проведение отдельных видов работ по общественным проектам развития территорий, предусмотренных государственной программой Самарской области «Поддержка инициатив населения муниципальных образований в Самарской области», по инициативным проектам на территории городского округа Тольятти.</w:t>
      </w:r>
    </w:p>
    <w:p w:rsidR="00007724" w:rsidRPr="00E75B85" w:rsidRDefault="00007724" w:rsidP="00E75B85">
      <w:pPr>
        <w:widowControl w:val="0"/>
        <w:autoSpaceDE w:val="0"/>
        <w:autoSpaceDN w:val="0"/>
        <w:spacing w:before="12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городском округе успешно реализуются практики инициативного бюджетирования в рамках государственной программы Самарской области «Поддержка инициатив населения муниципальных образований в Самарской области», утвержденной постановлением Правительства Самарской области от 17.05.2017 № 323, и Положения об инициативных проектах на территории городского округа Тольятти, утвержденного Решением Думы городского округа Тольятти от 23.06.2021 № 985.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использованием механизмов инициативного бюджетирования осуществляется реализация гражданских инициатив по решению вопросов местного значения при непосредственном участии граждан в определении и выборе объектов расходования бюджетных средств, а также последующем </w:t>
      </w: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 за</w:t>
      </w:r>
      <w:proofErr w:type="gram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объектов общественной инфраструктуры.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инициативного бюджетирования являются важным дополнением всестороннего решения проблем, волнующих граждан.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муниципальной программы «Благоустройство территории городского округа Тольятти на 2015 - 2024 годы», утвержденной постановлением мэрии городского округа Тольятти от 24.03.2015 № 905-п/1 с 2018 года на территории городского округа Тольятти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реализовано 52 общественных проекта и 6 инициативных проектов по направлениям: создание (восстановление) площадок для игр детей, отдыха взрослых, занятий</w:t>
      </w:r>
      <w:r w:rsidR="00274BAA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 культурой и спортом;</w:t>
      </w:r>
      <w:proofErr w:type="gramEnd"/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условий для развития школьного спорта, ремонт дорог дворовых территорий и устройство парковок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Конкурсный отбор общественных проектов осуществляется конкурсной комиссией, образуемой Правительством Самарской области.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софинансирования из областного бюджета расходного обязательства муниципального образования при предоставлении субсидий, направленных на решение вопросов местного значения и связанных с реализацией мероприятий по поддержке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общественных проектов, не может быть более 92%. При этом размер лимитов по городскому округу Тольятти составляет 36 млн. руб.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практик </w:t>
      </w: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инициативного</w:t>
      </w:r>
      <w:proofErr w:type="gram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бюджетирования обеспечит: 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получение относительно быстрых результатов развития территории муниципального образования и удовлетворенность населения деятельностью органов власти;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увеличение доходов местного бюджета за счет средств вышестоящего бюджета, поступающих средств добровольных пожертвований, инициативных платежей, направляемых на решение конкретных проблем, которые население считает наиболее актуальными.</w:t>
      </w:r>
    </w:p>
    <w:p w:rsidR="00007724" w:rsidRPr="00E75B85" w:rsidRDefault="00007724" w:rsidP="00E75B85">
      <w:pPr>
        <w:widowControl w:val="0"/>
        <w:autoSpaceDE w:val="0"/>
        <w:autoSpaceDN w:val="0"/>
        <w:spacing w:before="12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Благоустройство мест санкционированного размещения твердых коммунальных отходов на территории городского округа Тольятти.</w:t>
      </w:r>
    </w:p>
    <w:p w:rsidR="00AF55CD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Материально-техническая база сферы обращения с отходами в городском округе Тольятти находится в удовлетворительном состоянии. </w:t>
      </w:r>
    </w:p>
    <w:p w:rsidR="00AF55CD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Контейнеры и бункеры-накопители для сбора отходов, за исключением случаев временного (сезонного) размещения контейнеров для общего пользования отдыхающими на территориях рекреационного назначения, размещаются на специально оборудованных площадках. 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Площадки для установки контейнеров и бункеров-накопителей для сбора отходов должны быть с асфальтовым или бетонным покрытием, уклоном в сторону проезжей части и удобным подъездом для </w:t>
      </w:r>
      <w:proofErr w:type="spell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спецавтотранспорта</w:t>
      </w:r>
      <w:proofErr w:type="spell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государственной программы Самарской области «Совершенствование системы обращения с отходами, в том числе с твердыми коммунальными отходами, на территории Самарской области», утвержденной постановлением Правительства Самарской области от 31.08.2018 № 522, с 2020 года работы по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устройству и ремонту контейнерных площадок выполнены на 47 территориях городского округа Тольятти. Однако, учитывая окончание расчетного </w:t>
      </w:r>
      <w:proofErr w:type="gramStart"/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срока эксплуатации большинства объектов </w:t>
      </w:r>
      <w:r w:rsidR="00274BAA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отходов</w:t>
      </w:r>
      <w:proofErr w:type="gramEnd"/>
      <w:r w:rsidR="00274BAA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 количества благоустраиваемых мест массового отдыха населения, потребность по-прежнему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сохраняется.</w:t>
      </w:r>
    </w:p>
    <w:p w:rsidR="00007724" w:rsidRDefault="00007724" w:rsidP="00E75B85">
      <w:pPr>
        <w:widowControl w:val="0"/>
        <w:autoSpaceDE w:val="0"/>
        <w:autoSpaceDN w:val="0"/>
        <w:spacing w:before="22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повышения роли общественности в создании и управлении городской средой необходимо вовлечение собственников помещений в многоквартирных домах, собственников иных зданий и сооружений, расположенных в границах придомовой</w:t>
      </w:r>
      <w:r w:rsidR="0037400C"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ерритории многоквартирного дома, подлежащей благоустройству, в решение вопросов благоустройства и дальнейшего содержания (ответственного отношения) к благоустроенным территориям.</w:t>
      </w:r>
    </w:p>
    <w:p w:rsidR="00F011BD" w:rsidRPr="00E75B85" w:rsidRDefault="00F011BD" w:rsidP="00F011BD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E75B85">
        <w:rPr>
          <w:rFonts w:ascii="Times New Roman" w:hAnsi="Times New Roman" w:cs="Times New Roman"/>
          <w:b/>
          <w:sz w:val="24"/>
        </w:rPr>
        <w:lastRenderedPageBreak/>
        <w:t>II. Цели и задачи муниципальной программы</w:t>
      </w:r>
    </w:p>
    <w:p w:rsidR="00F011BD" w:rsidRPr="00E75B85" w:rsidRDefault="00F011BD" w:rsidP="00F011BD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011BD" w:rsidRPr="00E75B85" w:rsidRDefault="00F011BD" w:rsidP="00996F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Цель Программы: Обеспечение соответствия городских общественных пространств высоким стандартам качества городской среды и качества досуга жителей.</w:t>
      </w:r>
    </w:p>
    <w:p w:rsidR="00F011BD" w:rsidRPr="00E75B85" w:rsidRDefault="00F011BD" w:rsidP="00996F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Для достижения поставленной в Программе цели необходимо решение следующих задач:</w:t>
      </w:r>
    </w:p>
    <w:p w:rsidR="00F011BD" w:rsidRPr="00E75B85" w:rsidRDefault="00F011BD" w:rsidP="00996F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1. Обеспечение комплексного благоустройства внутриквартальных территорий.</w:t>
      </w:r>
    </w:p>
    <w:p w:rsidR="004E5BE1" w:rsidRPr="00E75B85" w:rsidRDefault="00996F84" w:rsidP="004E5BE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 xml:space="preserve">2. </w:t>
      </w:r>
      <w:r w:rsidR="004E5BE1" w:rsidRPr="00E75B85">
        <w:rPr>
          <w:rFonts w:ascii="Times New Roman" w:hAnsi="Times New Roman" w:cs="Times New Roman"/>
          <w:sz w:val="24"/>
        </w:rPr>
        <w:t>Обеспечение комплексного благоустройства знаковых и социально значимых мест, организация новых и восстановление существующих мест отдыха на внутриквартальных территориях.</w:t>
      </w:r>
    </w:p>
    <w:p w:rsidR="00F011BD" w:rsidRPr="00E75B85" w:rsidRDefault="00F011BD" w:rsidP="004E5BE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3. Обустройство мест массового отдыха на береговых зонах водных объектов.</w:t>
      </w:r>
    </w:p>
    <w:p w:rsidR="004E5BE1" w:rsidRPr="00E75B85" w:rsidRDefault="004E5BE1" w:rsidP="004E5BE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4. Проведение отдельных видов работ по общественным проектам развития территорий, предусмотренных государственной программой Самарской области «Поддержка инициатив населения муниципальных образований в Самарской области», по инициативным проектам на территории городского округа Тольятти.</w:t>
      </w:r>
    </w:p>
    <w:p w:rsidR="00F011BD" w:rsidRPr="00E75B85" w:rsidRDefault="00A7265F" w:rsidP="00A726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 xml:space="preserve">5. </w:t>
      </w:r>
      <w:r w:rsidR="00F011BD" w:rsidRPr="00E75B85">
        <w:rPr>
          <w:rFonts w:ascii="Times New Roman" w:hAnsi="Times New Roman" w:cs="Times New Roman"/>
          <w:sz w:val="24"/>
        </w:rPr>
        <w:t>Благоустройство мест санкционированного размещения твердых коммунальных отходов на территории городского округа Тольятти.</w:t>
      </w:r>
    </w:p>
    <w:p w:rsidR="00F011BD" w:rsidRPr="00E75B85" w:rsidRDefault="00F011BD" w:rsidP="00A726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Срок реализации настоящей Программы</w:t>
      </w:r>
      <w:r w:rsidR="00866685" w:rsidRPr="00E75B85">
        <w:rPr>
          <w:rFonts w:ascii="Times New Roman" w:hAnsi="Times New Roman" w:cs="Times New Roman"/>
          <w:sz w:val="24"/>
        </w:rPr>
        <w:t>:</w:t>
      </w:r>
      <w:r w:rsidRPr="00E75B85">
        <w:rPr>
          <w:rFonts w:ascii="Times New Roman" w:hAnsi="Times New Roman" w:cs="Times New Roman"/>
          <w:sz w:val="24"/>
        </w:rPr>
        <w:t xml:space="preserve"> </w:t>
      </w:r>
      <w:r w:rsidR="00866685" w:rsidRPr="00E75B85">
        <w:rPr>
          <w:rFonts w:ascii="Times New Roman" w:hAnsi="Times New Roman" w:cs="Times New Roman"/>
          <w:sz w:val="24"/>
        </w:rPr>
        <w:t>202</w:t>
      </w:r>
      <w:r w:rsidRPr="00E75B85">
        <w:rPr>
          <w:rFonts w:ascii="Times New Roman" w:hAnsi="Times New Roman" w:cs="Times New Roman"/>
          <w:sz w:val="24"/>
        </w:rPr>
        <w:t>5 - 20</w:t>
      </w:r>
      <w:r w:rsidR="00866685" w:rsidRPr="00E75B85">
        <w:rPr>
          <w:rFonts w:ascii="Times New Roman" w:hAnsi="Times New Roman" w:cs="Times New Roman"/>
          <w:sz w:val="24"/>
        </w:rPr>
        <w:t>30</w:t>
      </w:r>
      <w:r w:rsidRPr="00E75B85">
        <w:rPr>
          <w:rFonts w:ascii="Times New Roman" w:hAnsi="Times New Roman" w:cs="Times New Roman"/>
          <w:sz w:val="24"/>
        </w:rPr>
        <w:t xml:space="preserve"> годы.</w:t>
      </w:r>
    </w:p>
    <w:p w:rsidR="00B97415" w:rsidRPr="00E75B85" w:rsidRDefault="00B97415" w:rsidP="0086668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Цели, задачи муниципальной программы соответствуют целям и задачам, содержащимся в Стратегии социально-экономического развития городского округа Тольятти на период до 2030 года, утвержденной решением Думы городского округ</w:t>
      </w:r>
      <w:r w:rsidR="0028445F" w:rsidRPr="00E75B85">
        <w:rPr>
          <w:rFonts w:ascii="Times New Roman" w:hAnsi="Times New Roman" w:cs="Times New Roman"/>
          <w:sz w:val="24"/>
        </w:rPr>
        <w:t>а Тольятти от 25.01.2019 № 131.</w:t>
      </w:r>
    </w:p>
    <w:p w:rsidR="000376EC" w:rsidRPr="00E75B85" w:rsidRDefault="000376EC" w:rsidP="0086668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28445F" w:rsidRPr="00E75B85" w:rsidRDefault="0028445F" w:rsidP="0028445F">
      <w:pPr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  <w:r w:rsidRPr="00E75B85">
        <w:rPr>
          <w:rFonts w:ascii="Times New Roman" w:eastAsiaTheme="minorEastAsia" w:hAnsi="Times New Roman" w:cs="Times New Roman"/>
          <w:b/>
          <w:sz w:val="24"/>
          <w:lang w:eastAsia="ru-RU"/>
        </w:rPr>
        <w:t>III. Перечень мероприятий муниципальной программы</w:t>
      </w:r>
    </w:p>
    <w:p w:rsidR="00751A49" w:rsidRPr="00E75B85" w:rsidRDefault="00751A49" w:rsidP="00751A4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В рамках Программы, исходя из цели и поставленных задач, предусмотрена реализация комплекса программных мероприятий.</w:t>
      </w:r>
    </w:p>
    <w:p w:rsidR="0028445F" w:rsidRPr="00E75B85" w:rsidRDefault="00751A49" w:rsidP="00751A4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Программные мероприятия указаны в приложении № 1 «Перечень мероприятий муниципальной программы «Благоустройство территории городского округа Тольятти на 2025 - 2030 годы» и финансовые ресурсы на ее реализацию» к настоящей Программе.</w:t>
      </w:r>
    </w:p>
    <w:p w:rsidR="0028445F" w:rsidRPr="00E75B85" w:rsidRDefault="0028445F" w:rsidP="0086668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В программу включены мероприятия, в том числе отраженные в Плане мероприятий по реализации Стратегии.</w:t>
      </w:r>
    </w:p>
    <w:p w:rsidR="00015C7A" w:rsidRPr="00E75B85" w:rsidRDefault="00816B11" w:rsidP="0086668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16B11">
        <w:rPr>
          <w:rFonts w:ascii="Times New Roman" w:hAnsi="Times New Roman" w:cs="Times New Roman"/>
          <w:sz w:val="24"/>
        </w:rPr>
        <w:t xml:space="preserve">Адресные перечни территорий, на которых запланированы работы по благоустройству, представлены в приложениях </w:t>
      </w:r>
      <w:r>
        <w:rPr>
          <w:rFonts w:ascii="Times New Roman" w:hAnsi="Times New Roman" w:cs="Times New Roman"/>
          <w:sz w:val="24"/>
        </w:rPr>
        <w:t>№</w:t>
      </w:r>
      <w:r w:rsidRPr="00816B11">
        <w:rPr>
          <w:rFonts w:ascii="Times New Roman" w:hAnsi="Times New Roman" w:cs="Times New Roman"/>
          <w:sz w:val="24"/>
        </w:rPr>
        <w:t xml:space="preserve"> 3 - </w:t>
      </w:r>
      <w:r>
        <w:rPr>
          <w:rFonts w:ascii="Times New Roman" w:hAnsi="Times New Roman" w:cs="Times New Roman"/>
          <w:sz w:val="24"/>
        </w:rPr>
        <w:t>5</w:t>
      </w:r>
      <w:r w:rsidRPr="00816B11">
        <w:rPr>
          <w:rFonts w:ascii="Times New Roman" w:hAnsi="Times New Roman" w:cs="Times New Roman"/>
          <w:sz w:val="24"/>
        </w:rPr>
        <w:t xml:space="preserve"> к настоящей Программе.</w:t>
      </w:r>
    </w:p>
    <w:p w:rsidR="00965255" w:rsidRDefault="00965255" w:rsidP="00015C7A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15C7A" w:rsidRPr="00E75B85" w:rsidRDefault="00015C7A" w:rsidP="00015C7A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75B85">
        <w:rPr>
          <w:rFonts w:ascii="Times New Roman" w:hAnsi="Times New Roman" w:cs="Times New Roman"/>
          <w:b/>
          <w:bCs/>
          <w:sz w:val="24"/>
          <w:szCs w:val="24"/>
        </w:rPr>
        <w:lastRenderedPageBreak/>
        <w:t>IV. Показатели (индикаторы) муниципальной программы</w:t>
      </w:r>
    </w:p>
    <w:p w:rsidR="00015C7A" w:rsidRPr="00E75B85" w:rsidRDefault="00015C7A" w:rsidP="00015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Ежегодные и итоговые результаты реализации Программы оцениваются через систему показателей (индикаторов).</w:t>
      </w:r>
    </w:p>
    <w:p w:rsidR="00015C7A" w:rsidRPr="00E75B85" w:rsidRDefault="004C40B8" w:rsidP="00015C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015C7A" w:rsidRPr="00E75B85">
          <w:rPr>
            <w:rFonts w:ascii="Times New Roman" w:hAnsi="Times New Roman" w:cs="Times New Roman"/>
            <w:sz w:val="24"/>
            <w:szCs w:val="24"/>
          </w:rPr>
          <w:t>Показатели</w:t>
        </w:r>
      </w:hyperlink>
      <w:r w:rsidR="00015C7A" w:rsidRPr="00E75B85">
        <w:rPr>
          <w:rFonts w:ascii="Times New Roman" w:hAnsi="Times New Roman" w:cs="Times New Roman"/>
          <w:sz w:val="24"/>
          <w:szCs w:val="24"/>
        </w:rPr>
        <w:t xml:space="preserve"> (индикаторы) реализации Программы указаны в приложении </w:t>
      </w:r>
      <w:r w:rsidR="00896C25" w:rsidRPr="00E75B85">
        <w:rPr>
          <w:rFonts w:ascii="Times New Roman" w:hAnsi="Times New Roman" w:cs="Times New Roman"/>
          <w:sz w:val="24"/>
          <w:szCs w:val="24"/>
        </w:rPr>
        <w:t>№</w:t>
      </w:r>
      <w:r w:rsidR="00015C7A" w:rsidRPr="00E75B85">
        <w:rPr>
          <w:rFonts w:ascii="Times New Roman" w:hAnsi="Times New Roman" w:cs="Times New Roman"/>
          <w:sz w:val="24"/>
          <w:szCs w:val="24"/>
        </w:rPr>
        <w:t xml:space="preserve"> 2 "Показатели (индикаторы) реализации муниципальной программы </w:t>
      </w:r>
      <w:r w:rsidR="00896C25" w:rsidRPr="00E75B85">
        <w:rPr>
          <w:rFonts w:ascii="Times New Roman" w:hAnsi="Times New Roman" w:cs="Times New Roman"/>
          <w:sz w:val="24"/>
          <w:szCs w:val="24"/>
        </w:rPr>
        <w:t>«</w:t>
      </w:r>
      <w:r w:rsidR="00015C7A" w:rsidRPr="00E75B85">
        <w:rPr>
          <w:rFonts w:ascii="Times New Roman" w:hAnsi="Times New Roman" w:cs="Times New Roman"/>
          <w:sz w:val="24"/>
          <w:szCs w:val="24"/>
        </w:rPr>
        <w:t>Благоустройство территории г</w:t>
      </w:r>
      <w:r w:rsidR="00896C25" w:rsidRPr="00E75B85">
        <w:rPr>
          <w:rFonts w:ascii="Times New Roman" w:hAnsi="Times New Roman" w:cs="Times New Roman"/>
          <w:sz w:val="24"/>
          <w:szCs w:val="24"/>
        </w:rPr>
        <w:t>ородского округа Тольятти на 202</w:t>
      </w:r>
      <w:r w:rsidR="00015C7A" w:rsidRPr="00E75B85">
        <w:rPr>
          <w:rFonts w:ascii="Times New Roman" w:hAnsi="Times New Roman" w:cs="Times New Roman"/>
          <w:sz w:val="24"/>
          <w:szCs w:val="24"/>
        </w:rPr>
        <w:t>5 - 20</w:t>
      </w:r>
      <w:r w:rsidR="00896C25" w:rsidRPr="00E75B85">
        <w:rPr>
          <w:rFonts w:ascii="Times New Roman" w:hAnsi="Times New Roman" w:cs="Times New Roman"/>
          <w:sz w:val="24"/>
          <w:szCs w:val="24"/>
        </w:rPr>
        <w:t>30</w:t>
      </w:r>
      <w:r w:rsidR="00015C7A" w:rsidRPr="00E75B85">
        <w:rPr>
          <w:rFonts w:ascii="Times New Roman" w:hAnsi="Times New Roman" w:cs="Times New Roman"/>
          <w:sz w:val="24"/>
          <w:szCs w:val="24"/>
        </w:rPr>
        <w:t xml:space="preserve"> годы</w:t>
      </w:r>
      <w:r w:rsidR="00896C25" w:rsidRPr="00E75B85">
        <w:rPr>
          <w:rFonts w:ascii="Times New Roman" w:hAnsi="Times New Roman" w:cs="Times New Roman"/>
          <w:sz w:val="24"/>
          <w:szCs w:val="24"/>
        </w:rPr>
        <w:t>»</w:t>
      </w:r>
      <w:r w:rsidR="00015C7A" w:rsidRPr="00E75B85">
        <w:rPr>
          <w:rFonts w:ascii="Times New Roman" w:hAnsi="Times New Roman" w:cs="Times New Roman"/>
          <w:sz w:val="24"/>
          <w:szCs w:val="24"/>
        </w:rPr>
        <w:t xml:space="preserve"> к настоящей Программе.</w:t>
      </w:r>
    </w:p>
    <w:p w:rsidR="00015C7A" w:rsidRPr="00E75B85" w:rsidRDefault="00015C7A" w:rsidP="00015C7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proofErr w:type="gramStart"/>
      <w:r w:rsidRPr="00E75B85">
        <w:rPr>
          <w:rFonts w:ascii="Times New Roman" w:eastAsiaTheme="minorEastAsia" w:hAnsi="Times New Roman" w:cs="Times New Roman"/>
          <w:sz w:val="24"/>
          <w:lang w:eastAsia="ru-RU"/>
        </w:rPr>
        <w:t xml:space="preserve">Показатели (плановые значения) мероприятий Программы </w:t>
      </w:r>
      <w:r w:rsidR="00D40755" w:rsidRPr="00E75B85">
        <w:rPr>
          <w:rFonts w:ascii="Times New Roman" w:eastAsiaTheme="minorEastAsia" w:hAnsi="Times New Roman" w:cs="Times New Roman"/>
          <w:sz w:val="24"/>
          <w:lang w:eastAsia="ru-RU"/>
        </w:rPr>
        <w:t>установлены,</w:t>
      </w:r>
      <w:r w:rsidRPr="00E75B85">
        <w:rPr>
          <w:rFonts w:ascii="Times New Roman" w:eastAsiaTheme="minorEastAsia" w:hAnsi="Times New Roman" w:cs="Times New Roman"/>
          <w:sz w:val="24"/>
          <w:lang w:eastAsia="ru-RU"/>
        </w:rPr>
        <w:t xml:space="preserve"> в том числе</w:t>
      </w:r>
      <w:r w:rsidR="00D40755" w:rsidRPr="00E75B85">
        <w:rPr>
          <w:rFonts w:ascii="Times New Roman" w:eastAsiaTheme="minorEastAsia" w:hAnsi="Times New Roman" w:cs="Times New Roman"/>
          <w:sz w:val="24"/>
          <w:lang w:eastAsia="ru-RU"/>
        </w:rPr>
        <w:t>,</w:t>
      </w:r>
      <w:r w:rsidRPr="00E75B85">
        <w:rPr>
          <w:rFonts w:ascii="Times New Roman" w:eastAsiaTheme="minorEastAsia" w:hAnsi="Times New Roman" w:cs="Times New Roman"/>
          <w:sz w:val="24"/>
          <w:lang w:eastAsia="ru-RU"/>
        </w:rPr>
        <w:t xml:space="preserve"> в соответствии с указанными в Плане мероприятий по реализации Стратегии.</w:t>
      </w:r>
      <w:proofErr w:type="gramEnd"/>
    </w:p>
    <w:p w:rsidR="00896C25" w:rsidRPr="00E75B85" w:rsidRDefault="00896C25" w:rsidP="00896C25">
      <w:pPr>
        <w:pStyle w:val="ConsPlusNormal"/>
        <w:spacing w:before="120" w:after="240" w:line="36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E75B85">
        <w:rPr>
          <w:rFonts w:ascii="Times New Roman" w:hAnsi="Times New Roman" w:cs="Times New Roman"/>
          <w:b/>
          <w:sz w:val="24"/>
        </w:rPr>
        <w:t>V. Обоснование ресурсного обеспечения</w:t>
      </w:r>
    </w:p>
    <w:p w:rsidR="00896C25" w:rsidRPr="00E75B85" w:rsidRDefault="00896C25" w:rsidP="00896C2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из бюджета Самарской области и средств из внебюджетных источников.</w:t>
      </w:r>
    </w:p>
    <w:p w:rsidR="00896C25" w:rsidRPr="00E75B85" w:rsidRDefault="00896C25" w:rsidP="00896C2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Финансирование из внебюджетных источников пр</w:t>
      </w:r>
      <w:r w:rsidR="00E7351D" w:rsidRPr="00E75B85">
        <w:rPr>
          <w:rFonts w:ascii="Times New Roman" w:hAnsi="Times New Roman" w:cs="Times New Roman"/>
          <w:sz w:val="24"/>
        </w:rPr>
        <w:t xml:space="preserve">едусмотрено по </w:t>
      </w:r>
      <w:r w:rsidR="00E7351D" w:rsidRPr="003B0233">
        <w:rPr>
          <w:rFonts w:ascii="Times New Roman" w:hAnsi="Times New Roman" w:cs="Times New Roman"/>
          <w:sz w:val="24"/>
        </w:rPr>
        <w:t>мероприятию 1.</w:t>
      </w:r>
      <w:r w:rsidR="003B0233" w:rsidRPr="003B0233">
        <w:rPr>
          <w:rFonts w:ascii="Times New Roman" w:hAnsi="Times New Roman" w:cs="Times New Roman"/>
          <w:sz w:val="24"/>
        </w:rPr>
        <w:t>6</w:t>
      </w:r>
      <w:r w:rsidR="00E7351D" w:rsidRPr="003B0233">
        <w:rPr>
          <w:rFonts w:ascii="Times New Roman" w:hAnsi="Times New Roman" w:cs="Times New Roman"/>
          <w:sz w:val="24"/>
        </w:rPr>
        <w:t xml:space="preserve"> «</w:t>
      </w:r>
      <w:r w:rsidR="003B0233" w:rsidRPr="003B0233">
        <w:rPr>
          <w:rFonts w:ascii="Times New Roman" w:hAnsi="Times New Roman" w:cs="Times New Roman"/>
          <w:sz w:val="24"/>
        </w:rPr>
        <w:t>Ремонт, восстановление и устройство элементов благоустройства придомовых территорий многоквартирных домов</w:t>
      </w:r>
      <w:r w:rsidR="00E7351D" w:rsidRPr="003B0233">
        <w:rPr>
          <w:rFonts w:ascii="Times New Roman" w:hAnsi="Times New Roman" w:cs="Times New Roman"/>
          <w:sz w:val="24"/>
        </w:rPr>
        <w:t>»</w:t>
      </w:r>
      <w:r w:rsidRPr="003B0233">
        <w:rPr>
          <w:rFonts w:ascii="Times New Roman" w:hAnsi="Times New Roman" w:cs="Times New Roman"/>
          <w:sz w:val="24"/>
        </w:rPr>
        <w:t xml:space="preserve"> Программы, его размер определяется в процентном</w:t>
      </w:r>
      <w:r w:rsidRPr="00E75B85">
        <w:rPr>
          <w:rFonts w:ascii="Times New Roman" w:hAnsi="Times New Roman" w:cs="Times New Roman"/>
          <w:sz w:val="24"/>
        </w:rPr>
        <w:t xml:space="preserve"> отношении к стоимости услуг и (или) работ и устанавливается</w:t>
      </w:r>
      <w:r w:rsidR="00E7351D" w:rsidRPr="00E75B85">
        <w:rPr>
          <w:rFonts w:ascii="Times New Roman" w:hAnsi="Times New Roman" w:cs="Times New Roman"/>
          <w:sz w:val="24"/>
        </w:rPr>
        <w:t xml:space="preserve"> </w:t>
      </w:r>
      <w:r w:rsidRPr="00E75B85">
        <w:rPr>
          <w:rFonts w:ascii="Times New Roman" w:hAnsi="Times New Roman" w:cs="Times New Roman"/>
          <w:sz w:val="24"/>
        </w:rPr>
        <w:t xml:space="preserve"> не менее </w:t>
      </w:r>
      <w:r w:rsidR="00CA4E6D" w:rsidRPr="00E75B85">
        <w:rPr>
          <w:rFonts w:ascii="Times New Roman" w:hAnsi="Times New Roman" w:cs="Times New Roman"/>
          <w:sz w:val="24"/>
        </w:rPr>
        <w:t>5%.</w:t>
      </w:r>
    </w:p>
    <w:p w:rsidR="00896C25" w:rsidRPr="00E75B85" w:rsidRDefault="00896C25" w:rsidP="008A56FF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 xml:space="preserve">Объем бюджетных ассигнований на финансовое обеспечение реализации Программы, составит </w:t>
      </w:r>
      <w:r w:rsidR="009A75D5" w:rsidRPr="00E75B85">
        <w:rPr>
          <w:rFonts w:ascii="Times New Roman" w:hAnsi="Times New Roman" w:cs="Times New Roman"/>
          <w:sz w:val="24"/>
        </w:rPr>
        <w:t>901 9</w:t>
      </w:r>
      <w:r w:rsidR="0064587A" w:rsidRPr="00E75B85">
        <w:rPr>
          <w:rFonts w:ascii="Times New Roman" w:hAnsi="Times New Roman" w:cs="Times New Roman"/>
          <w:sz w:val="24"/>
        </w:rPr>
        <w:t>19</w:t>
      </w:r>
      <w:r w:rsidRPr="00E75B85">
        <w:rPr>
          <w:rFonts w:ascii="Times New Roman" w:hAnsi="Times New Roman" w:cs="Times New Roman"/>
          <w:sz w:val="24"/>
        </w:rPr>
        <w:t xml:space="preserve"> тыс. руб., из них:</w:t>
      </w:r>
    </w:p>
    <w:p w:rsidR="00896C25" w:rsidRPr="00E75B85" w:rsidRDefault="00896C25" w:rsidP="008A56FF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 xml:space="preserve">- местный бюджет </w:t>
      </w:r>
      <w:r w:rsidR="00CA4E6D" w:rsidRPr="00E75B85">
        <w:rPr>
          <w:rFonts w:ascii="Times New Roman" w:hAnsi="Times New Roman" w:cs="Times New Roman"/>
          <w:sz w:val="24"/>
        </w:rPr>
        <w:t>–</w:t>
      </w:r>
      <w:r w:rsidRPr="00E75B85">
        <w:rPr>
          <w:rFonts w:ascii="Times New Roman" w:hAnsi="Times New Roman" w:cs="Times New Roman"/>
          <w:sz w:val="24"/>
        </w:rPr>
        <w:t xml:space="preserve"> </w:t>
      </w:r>
      <w:r w:rsidR="009A75D5" w:rsidRPr="00E75B85">
        <w:rPr>
          <w:rFonts w:ascii="Times New Roman" w:hAnsi="Times New Roman" w:cs="Times New Roman"/>
          <w:sz w:val="24"/>
        </w:rPr>
        <w:t>885 345</w:t>
      </w:r>
      <w:r w:rsidRPr="00E75B85">
        <w:rPr>
          <w:rFonts w:ascii="Times New Roman" w:hAnsi="Times New Roman" w:cs="Times New Roman"/>
          <w:sz w:val="24"/>
        </w:rPr>
        <w:t xml:space="preserve"> тыс. руб.;</w:t>
      </w:r>
    </w:p>
    <w:p w:rsidR="00896C25" w:rsidRPr="00E75B85" w:rsidRDefault="00896C25" w:rsidP="008A56FF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 xml:space="preserve">- внебюджетные источники </w:t>
      </w:r>
      <w:r w:rsidR="00CA4E6D" w:rsidRPr="00E75B85">
        <w:rPr>
          <w:rFonts w:ascii="Times New Roman" w:hAnsi="Times New Roman" w:cs="Times New Roman"/>
          <w:sz w:val="24"/>
        </w:rPr>
        <w:t>–</w:t>
      </w:r>
      <w:r w:rsidRPr="00E75B85">
        <w:rPr>
          <w:rFonts w:ascii="Times New Roman" w:hAnsi="Times New Roman" w:cs="Times New Roman"/>
          <w:sz w:val="24"/>
        </w:rPr>
        <w:t xml:space="preserve"> </w:t>
      </w:r>
      <w:r w:rsidR="009A75D5" w:rsidRPr="00E75B85">
        <w:rPr>
          <w:rFonts w:ascii="Times New Roman" w:hAnsi="Times New Roman" w:cs="Times New Roman"/>
          <w:sz w:val="24"/>
        </w:rPr>
        <w:t>16 574</w:t>
      </w:r>
      <w:r w:rsidRPr="00E75B85">
        <w:rPr>
          <w:rFonts w:ascii="Times New Roman" w:hAnsi="Times New Roman" w:cs="Times New Roman"/>
          <w:sz w:val="24"/>
        </w:rPr>
        <w:t xml:space="preserve"> тыс. руб.</w:t>
      </w:r>
    </w:p>
    <w:p w:rsidR="00896C25" w:rsidRPr="00E75B85" w:rsidRDefault="00896C25" w:rsidP="008A56FF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Объем бюджетных ассигнований на финансовое обеспечение реализации Программы, за счет всех источников по годам составит:</w:t>
      </w:r>
    </w:p>
    <w:p w:rsidR="00CA4E6D" w:rsidRPr="00E75B85" w:rsidRDefault="00CA4E6D" w:rsidP="00CA4E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2025 год – 86 471 тыс. руб.;</w:t>
      </w:r>
    </w:p>
    <w:p w:rsidR="00CA4E6D" w:rsidRPr="00E75B85" w:rsidRDefault="00CA4E6D" w:rsidP="00CA4E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2026 год – 75 639 тыс. руб.;</w:t>
      </w:r>
    </w:p>
    <w:p w:rsidR="00CA4E6D" w:rsidRPr="00E75B85" w:rsidRDefault="00CA4E6D" w:rsidP="00CA4E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 xml:space="preserve">2027 год – </w:t>
      </w:r>
      <w:r w:rsidR="009A75D5" w:rsidRPr="00E75B85">
        <w:rPr>
          <w:rFonts w:ascii="Times New Roman" w:hAnsi="Times New Roman" w:cs="Times New Roman"/>
          <w:sz w:val="24"/>
        </w:rPr>
        <w:t>219 150</w:t>
      </w:r>
      <w:r w:rsidRPr="00E75B85">
        <w:rPr>
          <w:rFonts w:ascii="Times New Roman" w:hAnsi="Times New Roman" w:cs="Times New Roman"/>
          <w:sz w:val="24"/>
        </w:rPr>
        <w:t xml:space="preserve"> тыс. руб.;</w:t>
      </w:r>
    </w:p>
    <w:p w:rsidR="00CA4E6D" w:rsidRPr="00E75B85" w:rsidRDefault="00CA4E6D" w:rsidP="00CA4E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 xml:space="preserve">2028 год – </w:t>
      </w:r>
      <w:r w:rsidR="009A75D5" w:rsidRPr="00E75B85">
        <w:rPr>
          <w:rFonts w:ascii="Times New Roman" w:hAnsi="Times New Roman" w:cs="Times New Roman"/>
          <w:sz w:val="24"/>
        </w:rPr>
        <w:t>182 957</w:t>
      </w:r>
      <w:r w:rsidRPr="00E75B85">
        <w:rPr>
          <w:rFonts w:ascii="Times New Roman" w:hAnsi="Times New Roman" w:cs="Times New Roman"/>
          <w:sz w:val="24"/>
        </w:rPr>
        <w:t xml:space="preserve"> тыс. руб.;</w:t>
      </w:r>
    </w:p>
    <w:p w:rsidR="00CA4E6D" w:rsidRPr="00E75B85" w:rsidRDefault="00CA4E6D" w:rsidP="00CA4E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 xml:space="preserve">2029 год – </w:t>
      </w:r>
      <w:r w:rsidR="009A75D5" w:rsidRPr="00E75B85">
        <w:rPr>
          <w:rFonts w:ascii="Times New Roman" w:hAnsi="Times New Roman" w:cs="Times New Roman"/>
          <w:sz w:val="24"/>
        </w:rPr>
        <w:t>188 046</w:t>
      </w:r>
      <w:r w:rsidRPr="00E75B85">
        <w:rPr>
          <w:rFonts w:ascii="Times New Roman" w:hAnsi="Times New Roman" w:cs="Times New Roman"/>
          <w:sz w:val="24"/>
        </w:rPr>
        <w:t xml:space="preserve"> тыс. руб.;</w:t>
      </w:r>
    </w:p>
    <w:p w:rsidR="00CA4E6D" w:rsidRPr="00E75B85" w:rsidRDefault="00CA4E6D" w:rsidP="00CA4E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 xml:space="preserve">2030 год – </w:t>
      </w:r>
      <w:r w:rsidR="009A75D5" w:rsidRPr="00E75B85">
        <w:rPr>
          <w:rFonts w:ascii="Times New Roman" w:hAnsi="Times New Roman" w:cs="Times New Roman"/>
          <w:sz w:val="24"/>
        </w:rPr>
        <w:t>149 656</w:t>
      </w:r>
      <w:r w:rsidRPr="00E75B85">
        <w:rPr>
          <w:rFonts w:ascii="Times New Roman" w:hAnsi="Times New Roman" w:cs="Times New Roman"/>
          <w:sz w:val="24"/>
        </w:rPr>
        <w:t xml:space="preserve"> тыс. руб. </w:t>
      </w:r>
    </w:p>
    <w:p w:rsidR="0064587A" w:rsidRPr="00E75B85" w:rsidRDefault="0064587A" w:rsidP="006458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Объем бюджетных ассигнований на финансовое обеспечение реализации Программы  за счет бюджетных средств с учетом планируемых к поступлению средств вышестоящих бюджетов:</w:t>
      </w:r>
    </w:p>
    <w:p w:rsidR="0064587A" w:rsidRPr="00E75B85" w:rsidRDefault="0064587A" w:rsidP="006458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2025 год – 83 708 тыс. руб.;</w:t>
      </w:r>
    </w:p>
    <w:p w:rsidR="0064587A" w:rsidRPr="00E75B85" w:rsidRDefault="0064587A" w:rsidP="006458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2026 год – 72 876 тыс. руб.;</w:t>
      </w:r>
    </w:p>
    <w:p w:rsidR="0064587A" w:rsidRPr="00E75B85" w:rsidRDefault="0064587A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lastRenderedPageBreak/>
        <w:t>2027 год – 216 387 тыс. руб.;</w:t>
      </w:r>
    </w:p>
    <w:p w:rsidR="0064587A" w:rsidRPr="00E75B85" w:rsidRDefault="0064587A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2028 год – 180 194 тыс. руб.;</w:t>
      </w:r>
    </w:p>
    <w:p w:rsidR="0064587A" w:rsidRPr="00E75B85" w:rsidRDefault="0064587A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2029 год – 185 283 тыс. руб.;</w:t>
      </w:r>
    </w:p>
    <w:p w:rsidR="0064587A" w:rsidRPr="00E75B85" w:rsidRDefault="0064587A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2030 год – 146 897 тыс. руб.</w:t>
      </w:r>
    </w:p>
    <w:p w:rsidR="0064587A" w:rsidRPr="00E75B85" w:rsidRDefault="0064587A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Объем бюджетных ассигнований на финансовое обеспечение реализации Программы  за счет внебюджетных средств:</w:t>
      </w:r>
    </w:p>
    <w:p w:rsidR="0064587A" w:rsidRPr="00E75B85" w:rsidRDefault="0064587A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2025 год – 2 763 тыс. руб.;</w:t>
      </w:r>
    </w:p>
    <w:p w:rsidR="0064587A" w:rsidRPr="00E75B85" w:rsidRDefault="0064587A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2026 год – 2 763 тыс. руб.;</w:t>
      </w:r>
    </w:p>
    <w:p w:rsidR="0064587A" w:rsidRPr="00E75B85" w:rsidRDefault="0064587A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2027 год – 2 763 тыс. руб.;</w:t>
      </w:r>
    </w:p>
    <w:p w:rsidR="0064587A" w:rsidRPr="00E75B85" w:rsidRDefault="0064587A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2028 год – 2 763 тыс. руб.;</w:t>
      </w:r>
    </w:p>
    <w:p w:rsidR="0064587A" w:rsidRPr="00E75B85" w:rsidRDefault="0064587A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2029 год – 2 763 тыс. руб.;</w:t>
      </w:r>
    </w:p>
    <w:p w:rsidR="0064587A" w:rsidRPr="00E75B85" w:rsidRDefault="0064587A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2030 год – 2 759 тыс. руб.</w:t>
      </w:r>
    </w:p>
    <w:p w:rsidR="00896C25" w:rsidRPr="00E75B85" w:rsidRDefault="00896C25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Объемы финансирования носят прогнозный характер и</w:t>
      </w:r>
      <w:r w:rsidR="00CA4E6D" w:rsidRPr="00E75B85">
        <w:rPr>
          <w:rFonts w:ascii="Times New Roman" w:hAnsi="Times New Roman" w:cs="Times New Roman"/>
          <w:sz w:val="24"/>
        </w:rPr>
        <w:t xml:space="preserve"> подлежат ежегодному уточнению </w:t>
      </w:r>
      <w:r w:rsidRPr="00E75B85">
        <w:rPr>
          <w:rFonts w:ascii="Times New Roman" w:hAnsi="Times New Roman" w:cs="Times New Roman"/>
          <w:sz w:val="24"/>
        </w:rPr>
        <w:t>в связи с инфляцией и по результатам проведенных конкурсных торгов (аукционов), следовательно, в Программу будут вноситься соответствующие изменения.</w:t>
      </w:r>
    </w:p>
    <w:p w:rsidR="00896C25" w:rsidRPr="00E75B85" w:rsidRDefault="00896C25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Финансирование Программы осуществляется в пределах ассигнований, предусмотренных в бюджете городского округа Тольятти главным распорядителям бюджетных средств, утвержденных решением Думы городского округа Тольятти о бюджете на соответствующий финансовый год и плановый период.</w:t>
      </w:r>
    </w:p>
    <w:p w:rsidR="00896C25" w:rsidRPr="00E75B85" w:rsidRDefault="00896C25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Объемы финансирования Программы могут быть изменены в результате полученных субсидий из областного бюджета, предоставляемых в целях осуществления мероприятий, направленных:</w:t>
      </w:r>
    </w:p>
    <w:p w:rsidR="00896C25" w:rsidRPr="00E75B85" w:rsidRDefault="00896C25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 xml:space="preserve">- на выполнение работ по общественным проектам развития территорий, предусмотренных государственной программой Самарской области </w:t>
      </w:r>
      <w:r w:rsidR="00CA4E6D" w:rsidRPr="00E75B85">
        <w:rPr>
          <w:rFonts w:ascii="Times New Roman" w:hAnsi="Times New Roman" w:cs="Times New Roman"/>
          <w:sz w:val="24"/>
        </w:rPr>
        <w:t>«</w:t>
      </w:r>
      <w:r w:rsidRPr="00E75B85">
        <w:rPr>
          <w:rFonts w:ascii="Times New Roman" w:hAnsi="Times New Roman" w:cs="Times New Roman"/>
          <w:sz w:val="24"/>
        </w:rPr>
        <w:t>Поддержка инициатив населения муниципальных образований в Самарской области</w:t>
      </w:r>
      <w:r w:rsidR="00CA4E6D" w:rsidRPr="00E75B85">
        <w:rPr>
          <w:rFonts w:ascii="Times New Roman" w:hAnsi="Times New Roman" w:cs="Times New Roman"/>
          <w:sz w:val="24"/>
        </w:rPr>
        <w:t>»</w:t>
      </w:r>
      <w:r w:rsidRPr="00E75B85">
        <w:rPr>
          <w:rFonts w:ascii="Times New Roman" w:hAnsi="Times New Roman" w:cs="Times New Roman"/>
          <w:sz w:val="24"/>
        </w:rPr>
        <w:t xml:space="preserve">, утвержденной постановлением Правительства Самарской области от 17.05.2017 </w:t>
      </w:r>
      <w:r w:rsidR="00CA4E6D" w:rsidRPr="00E75B85">
        <w:rPr>
          <w:rFonts w:ascii="Times New Roman" w:hAnsi="Times New Roman" w:cs="Times New Roman"/>
          <w:sz w:val="24"/>
        </w:rPr>
        <w:t>№</w:t>
      </w:r>
      <w:r w:rsidRPr="00E75B85">
        <w:rPr>
          <w:rFonts w:ascii="Times New Roman" w:hAnsi="Times New Roman" w:cs="Times New Roman"/>
          <w:sz w:val="24"/>
        </w:rPr>
        <w:t xml:space="preserve"> 323;</w:t>
      </w:r>
    </w:p>
    <w:p w:rsidR="00896C25" w:rsidRPr="00E75B85" w:rsidRDefault="00896C25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- на выполнение работ по устройству и ремонту контейнерных площадок, предусмотренных государственно</w:t>
      </w:r>
      <w:r w:rsidR="00CA4E6D" w:rsidRPr="00E75B85">
        <w:rPr>
          <w:rFonts w:ascii="Times New Roman" w:hAnsi="Times New Roman" w:cs="Times New Roman"/>
          <w:sz w:val="24"/>
        </w:rPr>
        <w:t>й программой Самарской области «</w:t>
      </w:r>
      <w:r w:rsidRPr="00E75B85">
        <w:rPr>
          <w:rFonts w:ascii="Times New Roman" w:hAnsi="Times New Roman" w:cs="Times New Roman"/>
          <w:sz w:val="24"/>
        </w:rPr>
        <w:t>Совершенствование системы обращения с отходами, в том числе с твердыми коммунальными отходами, на территории Самарской обл</w:t>
      </w:r>
      <w:r w:rsidR="00CA4E6D" w:rsidRPr="00E75B85">
        <w:rPr>
          <w:rFonts w:ascii="Times New Roman" w:hAnsi="Times New Roman" w:cs="Times New Roman"/>
          <w:sz w:val="24"/>
        </w:rPr>
        <w:t>асти»</w:t>
      </w:r>
      <w:r w:rsidRPr="00E75B85">
        <w:rPr>
          <w:rFonts w:ascii="Times New Roman" w:hAnsi="Times New Roman" w:cs="Times New Roman"/>
          <w:sz w:val="24"/>
        </w:rPr>
        <w:t xml:space="preserve">, утвержденной постановлением Правительства Самарской области от 31.08.2018 </w:t>
      </w:r>
      <w:r w:rsidR="00CA4E6D" w:rsidRPr="00E75B85">
        <w:rPr>
          <w:rFonts w:ascii="Times New Roman" w:hAnsi="Times New Roman" w:cs="Times New Roman"/>
          <w:sz w:val="24"/>
        </w:rPr>
        <w:t>№</w:t>
      </w:r>
      <w:r w:rsidRPr="00E75B85">
        <w:rPr>
          <w:rFonts w:ascii="Times New Roman" w:hAnsi="Times New Roman" w:cs="Times New Roman"/>
          <w:sz w:val="24"/>
        </w:rPr>
        <w:t xml:space="preserve"> 522.</w:t>
      </w:r>
    </w:p>
    <w:p w:rsidR="00896C25" w:rsidRPr="00E75B85" w:rsidRDefault="00896C25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Сроки, объемы и источники финансового обеспечения мероприятий Пр</w:t>
      </w:r>
      <w:r w:rsidR="00CA4E6D" w:rsidRPr="00E75B85">
        <w:rPr>
          <w:rFonts w:ascii="Times New Roman" w:hAnsi="Times New Roman" w:cs="Times New Roman"/>
          <w:sz w:val="24"/>
        </w:rPr>
        <w:t>ограммы приведены в Приложении №</w:t>
      </w:r>
      <w:r w:rsidRPr="00E75B85">
        <w:rPr>
          <w:rFonts w:ascii="Times New Roman" w:hAnsi="Times New Roman" w:cs="Times New Roman"/>
          <w:sz w:val="24"/>
        </w:rPr>
        <w:t xml:space="preserve"> 1 к настоящей Программе.</w:t>
      </w:r>
    </w:p>
    <w:p w:rsidR="00D23225" w:rsidRPr="00E75B85" w:rsidRDefault="00D23225" w:rsidP="00896C2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40755" w:rsidRPr="00E75B85" w:rsidRDefault="00D40755" w:rsidP="00D40755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75B85">
        <w:rPr>
          <w:rFonts w:ascii="Times New Roman" w:hAnsi="Times New Roman" w:cs="Times New Roman"/>
          <w:b/>
          <w:bCs/>
          <w:sz w:val="24"/>
          <w:szCs w:val="24"/>
        </w:rPr>
        <w:t>VI. Механизм реализации муниципальной программы</w:t>
      </w:r>
    </w:p>
    <w:p w:rsidR="00D40755" w:rsidRPr="00E75B85" w:rsidRDefault="00D40755" w:rsidP="00D407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 xml:space="preserve">Организация управления и </w:t>
      </w:r>
      <w:proofErr w:type="gramStart"/>
      <w:r w:rsidRPr="00E75B8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75B85">
        <w:rPr>
          <w:rFonts w:ascii="Times New Roman" w:hAnsi="Times New Roman" w:cs="Times New Roman"/>
          <w:sz w:val="24"/>
          <w:szCs w:val="24"/>
        </w:rPr>
        <w:t xml:space="preserve"> ходом реализации Программы осуществляются координатором Программы - департаментом городского хозяйства </w:t>
      </w:r>
      <w:r w:rsidRPr="00E75B85">
        <w:rPr>
          <w:rFonts w:ascii="Times New Roman" w:hAnsi="Times New Roman" w:cs="Times New Roman"/>
          <w:sz w:val="24"/>
          <w:szCs w:val="24"/>
        </w:rPr>
        <w:lastRenderedPageBreak/>
        <w:t>администрации городского округа Тольятти в соответствии с «</w:t>
      </w:r>
      <w:hyperlink r:id="rId10" w:history="1">
        <w:r w:rsidRPr="00E75B85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E75B85">
        <w:rPr>
          <w:rFonts w:ascii="Times New Roman" w:hAnsi="Times New Roman" w:cs="Times New Roman"/>
          <w:sz w:val="24"/>
          <w:szCs w:val="24"/>
        </w:rPr>
        <w:t xml:space="preserve"> принятия решений о разработке, формирования и реализации, оценки эффективности муниципальных программ городского округа Тольятти», утвержденным постановлением мэрии городского округа Тольятти от 12.08.2013 № 2546-п/1 (далее - Порядок).</w:t>
      </w:r>
    </w:p>
    <w:p w:rsidR="00D40755" w:rsidRPr="00E75B85" w:rsidRDefault="00D40755" w:rsidP="00D2322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Важными элементами механизма реализации Программы являются планирование, мониторинг, уточнение и корректировка показателей (индикаторов) Программы. В связи с этим ход реализации Программы, достижение цели и решение задач ежегодно оцениваются через систему показателей на основе результативности мероприятий Программы и достижения целевых индикаторов.</w:t>
      </w:r>
    </w:p>
    <w:p w:rsidR="00D40755" w:rsidRPr="00E75B85" w:rsidRDefault="00D40755" w:rsidP="00D2322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Исполнителями мероприятий Программы могут являться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:rsidR="00D40755" w:rsidRPr="00E75B85" w:rsidRDefault="00D40755" w:rsidP="00D2322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Исполнители мероприятий Программы предоставляют заказчикам Программы - органам администрации акты приемки выполненных работ (оказанных услуг), отчеты о выполнении муниципального задания (целевом использовании субсидий).</w:t>
      </w:r>
    </w:p>
    <w:p w:rsidR="00D40755" w:rsidRPr="00E75B85" w:rsidRDefault="00D40755" w:rsidP="00D2322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Заказчики Программы представляют Координатору годовые (итоговые) отчеты о реализации мероприятий Программы до 20 января года, следующего за отчетным периодом.</w:t>
      </w:r>
    </w:p>
    <w:p w:rsidR="00D40755" w:rsidRPr="00E75B85" w:rsidRDefault="00D40755" w:rsidP="00D2322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Координатор Программы представляет отчеты о ходе реализации Программы на Коллегию администрации в сроки и по форме согласно Порядку.</w:t>
      </w:r>
    </w:p>
    <w:p w:rsidR="00D40755" w:rsidRPr="00E75B85" w:rsidRDefault="00D40755" w:rsidP="00D2322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proofErr w:type="gramStart"/>
      <w:r w:rsidRPr="00E75B85">
        <w:rPr>
          <w:rFonts w:ascii="Times New Roman" w:hAnsi="Times New Roman" w:cs="Times New Roman"/>
          <w:sz w:val="24"/>
          <w:szCs w:val="24"/>
        </w:rPr>
        <w:t>проведения ежегодного мониторинга хода реализации Программы</w:t>
      </w:r>
      <w:proofErr w:type="gramEnd"/>
      <w:r w:rsidRPr="00E75B85">
        <w:rPr>
          <w:rFonts w:ascii="Times New Roman" w:hAnsi="Times New Roman" w:cs="Times New Roman"/>
          <w:sz w:val="24"/>
          <w:szCs w:val="24"/>
        </w:rPr>
        <w:t xml:space="preserve"> при необходимости Координатор подготавливает проект постановления администрации городского округа Тольятти о внесении изменений в Программу, организует согласование и утверждение в установленном порядке.</w:t>
      </w:r>
    </w:p>
    <w:p w:rsidR="00965255" w:rsidRDefault="00965255" w:rsidP="00D407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40755" w:rsidRPr="00E75B85" w:rsidRDefault="00D40755" w:rsidP="00D407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75B85">
        <w:rPr>
          <w:rFonts w:ascii="Times New Roman" w:hAnsi="Times New Roman" w:cs="Times New Roman"/>
          <w:b/>
          <w:bCs/>
          <w:sz w:val="24"/>
          <w:szCs w:val="24"/>
        </w:rPr>
        <w:t>VII. Планируемые результаты реализации</w:t>
      </w:r>
    </w:p>
    <w:p w:rsidR="00D40755" w:rsidRPr="00E75B85" w:rsidRDefault="00D40755" w:rsidP="00D40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5B85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Программа носит ярко выраженный социально-экономический характер.</w:t>
      </w: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Осуществление своевременного финансирования и успешное выполнение мероприятий настоящей Программы позволит:</w:t>
      </w: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- повысить комфортность условий проживания граждан на территории городского округа Тольятти;</w:t>
      </w: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- улучшить условия массового отдыха жителей и гостей городского округа Тольятти;</w:t>
      </w: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- обеспечить комплексное благоустройство знаковых и социально значимых мест;</w:t>
      </w: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lastRenderedPageBreak/>
        <w:t>- привести в нормативное состояние наружное освещение внутриквартальных территорий;</w:t>
      </w: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- улучшить эстетическое состояние территории городского округа Тольятти;</w:t>
      </w: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- запустить реализацию механизма поддержки мероприятий по благоустройству, инициированных гражданами;</w:t>
      </w: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 xml:space="preserve">- сформировать инструменты общественного </w:t>
      </w:r>
      <w:proofErr w:type="gramStart"/>
      <w:r w:rsidRPr="00E75B8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75B85">
        <w:rPr>
          <w:rFonts w:ascii="Times New Roman" w:hAnsi="Times New Roman" w:cs="Times New Roman"/>
          <w:sz w:val="24"/>
          <w:szCs w:val="24"/>
        </w:rPr>
        <w:t xml:space="preserve"> реализацией мероприятий по благоустройству на территории городского округа Тольятти.</w:t>
      </w:r>
    </w:p>
    <w:p w:rsidR="00E75B85" w:rsidRDefault="00E75B85" w:rsidP="002043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D40755" w:rsidRPr="00E75B85" w:rsidRDefault="00D40755" w:rsidP="002043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75B85">
        <w:rPr>
          <w:rFonts w:ascii="Times New Roman" w:hAnsi="Times New Roman" w:cs="Times New Roman"/>
          <w:b/>
          <w:bCs/>
          <w:sz w:val="24"/>
          <w:szCs w:val="24"/>
        </w:rPr>
        <w:t>Показатели</w:t>
      </w:r>
      <w:r w:rsidR="00204311" w:rsidRPr="00E75B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75B85">
        <w:rPr>
          <w:rFonts w:ascii="Times New Roman" w:hAnsi="Times New Roman" w:cs="Times New Roman"/>
          <w:b/>
          <w:bCs/>
          <w:sz w:val="24"/>
          <w:szCs w:val="24"/>
        </w:rPr>
        <w:t>конечного результата муниципальной программы</w:t>
      </w:r>
    </w:p>
    <w:p w:rsidR="00007724" w:rsidRPr="00E75B85" w:rsidRDefault="00007724" w:rsidP="002043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17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85"/>
        <w:gridCol w:w="4278"/>
        <w:gridCol w:w="454"/>
        <w:gridCol w:w="858"/>
        <w:gridCol w:w="568"/>
        <w:gridCol w:w="567"/>
        <w:gridCol w:w="568"/>
        <w:gridCol w:w="6"/>
        <w:gridCol w:w="565"/>
        <w:gridCol w:w="6"/>
        <w:gridCol w:w="565"/>
        <w:gridCol w:w="6"/>
        <w:gridCol w:w="687"/>
      </w:tblGrid>
      <w:tr w:rsidR="00C41139" w:rsidRPr="00965255" w:rsidTr="00D23225">
        <w:trPr>
          <w:jc w:val="center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5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D40755" w:rsidRPr="00965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D40755" w:rsidRPr="009652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D40755" w:rsidRPr="0096525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5" w:rsidRPr="00965255" w:rsidRDefault="00D4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5" w:rsidRPr="00965255" w:rsidRDefault="00D4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5" w:rsidRPr="00965255" w:rsidRDefault="00D4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8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5" w:rsidRPr="00965255" w:rsidRDefault="00D4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Планируемые значения показателя конечного результата</w:t>
            </w:r>
          </w:p>
        </w:tc>
      </w:tr>
      <w:tr w:rsidR="004B5289" w:rsidRPr="00965255" w:rsidTr="00D23225">
        <w:trPr>
          <w:jc w:val="center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 w:rsidP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 w:rsidP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 w:rsidP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 w:rsidP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 w:rsidP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 w:rsidP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B5289" w:rsidRPr="00965255" w:rsidTr="00D23225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B5289" w:rsidRPr="00965255" w:rsidTr="00D23225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FE2D6B" w:rsidP="00BF401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Доля внутриквартальных территорий, на которых проведено комплексное благоустройство, от общего количества внутриквартальных территорий, запланированных к комплексному благоустройству в отчетном периоде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B5289" w:rsidRPr="00965255" w:rsidTr="00D23225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FE2D6B" w:rsidP="00007724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Доля благоустроенных мест отдыха</w:t>
            </w:r>
            <w:r w:rsidR="00007724" w:rsidRPr="0096525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65255">
              <w:rPr>
                <w:sz w:val="20"/>
                <w:szCs w:val="20"/>
              </w:rPr>
              <w:t xml:space="preserve">  </w:t>
            </w: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знаковых и социально значимых мест, на которых выполнены работы по благоустройству, от общего количества мест отдыха и знаковых и социально значимых мест, запланированных к благоустройству в отчетном периоде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204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B5289" w:rsidRPr="00965255" w:rsidTr="00D23225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204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 w:rsidP="00BF401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Доля выполненных работ в общем количестве запланированных работ по благоустройству береговой линии Куйбышевского водохранилища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B5289" w:rsidRPr="00965255" w:rsidTr="00D23225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C4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C41139" w:rsidP="00BF401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Доля выполненных работ в общем количестве запланированных работ по реализации общественных и инициативных проектов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C4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C4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40755" w:rsidRPr="00965255" w:rsidTr="00007724">
        <w:trPr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5" w:rsidRPr="00965255" w:rsidRDefault="00D407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Показатели (индикаторы) Стратегии, определенные планом мероприятий по реализации Стратегии</w:t>
            </w:r>
          </w:p>
        </w:tc>
      </w:tr>
      <w:tr w:rsidR="004B5289" w:rsidRPr="00965255" w:rsidTr="00D23225">
        <w:trPr>
          <w:jc w:val="center"/>
        </w:trPr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39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39" w:rsidRPr="00965255" w:rsidRDefault="00C41139" w:rsidP="00BF4018">
            <w:pPr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Количество вновь установленных социально значимых мест, в том числе частично</w:t>
            </w:r>
          </w:p>
          <w:p w:rsidR="00007724" w:rsidRPr="00965255" w:rsidRDefault="00007724" w:rsidP="00BF4018">
            <w:pPr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39" w:rsidRPr="00965255" w:rsidRDefault="00C4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39" w:rsidRPr="00965255" w:rsidRDefault="00204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39" w:rsidRPr="00965255" w:rsidRDefault="00CC6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39" w:rsidRPr="00965255" w:rsidRDefault="00CC6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39" w:rsidRPr="00965255" w:rsidRDefault="00CC6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39" w:rsidRPr="00965255" w:rsidRDefault="00CC6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39" w:rsidRPr="00965255" w:rsidRDefault="00CC6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39" w:rsidRPr="00965255" w:rsidRDefault="00CC6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40755" w:rsidRPr="00965255" w:rsidTr="00007724">
        <w:trPr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5" w:rsidRPr="00965255" w:rsidRDefault="00D407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Целевые показатели (индикаторы) национальных и федеральных проектов в части, касающейся городского округа Тольятти</w:t>
            </w:r>
          </w:p>
        </w:tc>
      </w:tr>
      <w:tr w:rsidR="004B5289" w:rsidRPr="00965255" w:rsidTr="00D23225">
        <w:trPr>
          <w:jc w:val="center"/>
        </w:trPr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 w:rsidP="00C4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&lt;*&gt;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4018" w:rsidRPr="00E75B85" w:rsidRDefault="00D40755" w:rsidP="00D4075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&lt;*&gt; Мероприятия муниципальной программы не предусмотрены национальными и федеральными проектами.</w:t>
      </w:r>
    </w:p>
    <w:p w:rsidR="00F70B42" w:rsidRDefault="00F70B42" w:rsidP="00F70B42">
      <w:pPr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sectPr w:rsidR="00F70B42" w:rsidSect="008A77B4">
      <w:headerReference w:type="default" r:id="rId11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B8" w:rsidRDefault="004C40B8" w:rsidP="008A77B4">
      <w:pPr>
        <w:spacing w:after="0" w:line="240" w:lineRule="auto"/>
      </w:pPr>
      <w:r>
        <w:separator/>
      </w:r>
    </w:p>
  </w:endnote>
  <w:endnote w:type="continuationSeparator" w:id="0">
    <w:p w:rsidR="004C40B8" w:rsidRDefault="004C40B8" w:rsidP="008A7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B8" w:rsidRDefault="004C40B8" w:rsidP="008A77B4">
      <w:pPr>
        <w:spacing w:after="0" w:line="240" w:lineRule="auto"/>
      </w:pPr>
      <w:r>
        <w:separator/>
      </w:r>
    </w:p>
  </w:footnote>
  <w:footnote w:type="continuationSeparator" w:id="0">
    <w:p w:rsidR="004C40B8" w:rsidRDefault="004C40B8" w:rsidP="008A7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953380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8A77B4" w:rsidRPr="008A77B4" w:rsidRDefault="008A77B4">
        <w:pPr>
          <w:pStyle w:val="a5"/>
          <w:jc w:val="center"/>
          <w:rPr>
            <w:sz w:val="20"/>
          </w:rPr>
        </w:pPr>
        <w:r w:rsidRPr="008A77B4">
          <w:rPr>
            <w:sz w:val="20"/>
          </w:rPr>
          <w:fldChar w:fldCharType="begin"/>
        </w:r>
        <w:r w:rsidRPr="008A77B4">
          <w:rPr>
            <w:sz w:val="20"/>
          </w:rPr>
          <w:instrText>PAGE   \* MERGEFORMAT</w:instrText>
        </w:r>
        <w:r w:rsidRPr="008A77B4">
          <w:rPr>
            <w:sz w:val="20"/>
          </w:rPr>
          <w:fldChar w:fldCharType="separate"/>
        </w:r>
        <w:r w:rsidR="006C11FE">
          <w:rPr>
            <w:noProof/>
            <w:sz w:val="20"/>
          </w:rPr>
          <w:t>12</w:t>
        </w:r>
        <w:r w:rsidRPr="008A77B4">
          <w:rPr>
            <w:sz w:val="20"/>
          </w:rPr>
          <w:fldChar w:fldCharType="end"/>
        </w:r>
      </w:p>
    </w:sdtContent>
  </w:sdt>
  <w:p w:rsidR="008A77B4" w:rsidRDefault="008A77B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72486"/>
    <w:multiLevelType w:val="hybridMultilevel"/>
    <w:tmpl w:val="AEAA3C34"/>
    <w:lvl w:ilvl="0" w:tplc="975C156A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D1A3FAC"/>
    <w:multiLevelType w:val="hybridMultilevel"/>
    <w:tmpl w:val="D5D4C468"/>
    <w:lvl w:ilvl="0" w:tplc="975C156A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609"/>
    <w:rsid w:val="00007724"/>
    <w:rsid w:val="00015C7A"/>
    <w:rsid w:val="00022371"/>
    <w:rsid w:val="000334B1"/>
    <w:rsid w:val="000376EC"/>
    <w:rsid w:val="000A14E4"/>
    <w:rsid w:val="000C5FB6"/>
    <w:rsid w:val="000F0352"/>
    <w:rsid w:val="00170609"/>
    <w:rsid w:val="001A0095"/>
    <w:rsid w:val="001C2572"/>
    <w:rsid w:val="00204311"/>
    <w:rsid w:val="00204D08"/>
    <w:rsid w:val="00210BBD"/>
    <w:rsid w:val="00253CC6"/>
    <w:rsid w:val="00274BAA"/>
    <w:rsid w:val="0028445F"/>
    <w:rsid w:val="00295782"/>
    <w:rsid w:val="002F5E90"/>
    <w:rsid w:val="0037400C"/>
    <w:rsid w:val="003848CE"/>
    <w:rsid w:val="003B0233"/>
    <w:rsid w:val="00474878"/>
    <w:rsid w:val="004A4A08"/>
    <w:rsid w:val="004B5289"/>
    <w:rsid w:val="004C40B8"/>
    <w:rsid w:val="004D4D2E"/>
    <w:rsid w:val="004D5122"/>
    <w:rsid w:val="004E5BE1"/>
    <w:rsid w:val="004F6151"/>
    <w:rsid w:val="005204A7"/>
    <w:rsid w:val="005467A3"/>
    <w:rsid w:val="00566212"/>
    <w:rsid w:val="00566D64"/>
    <w:rsid w:val="005951B5"/>
    <w:rsid w:val="005C5CCF"/>
    <w:rsid w:val="00613737"/>
    <w:rsid w:val="0064587A"/>
    <w:rsid w:val="006520FF"/>
    <w:rsid w:val="00661A83"/>
    <w:rsid w:val="006B765F"/>
    <w:rsid w:val="006C11FE"/>
    <w:rsid w:val="00751A49"/>
    <w:rsid w:val="007713FD"/>
    <w:rsid w:val="007D390E"/>
    <w:rsid w:val="007E5569"/>
    <w:rsid w:val="00802E30"/>
    <w:rsid w:val="00816B11"/>
    <w:rsid w:val="008351F5"/>
    <w:rsid w:val="00864677"/>
    <w:rsid w:val="00866685"/>
    <w:rsid w:val="008749A3"/>
    <w:rsid w:val="00892282"/>
    <w:rsid w:val="00896C25"/>
    <w:rsid w:val="008A31D4"/>
    <w:rsid w:val="008A56FF"/>
    <w:rsid w:val="008A77B4"/>
    <w:rsid w:val="00907431"/>
    <w:rsid w:val="00907459"/>
    <w:rsid w:val="00914B8E"/>
    <w:rsid w:val="00924036"/>
    <w:rsid w:val="00965255"/>
    <w:rsid w:val="00981232"/>
    <w:rsid w:val="00996F84"/>
    <w:rsid w:val="009A75D5"/>
    <w:rsid w:val="009C7FFC"/>
    <w:rsid w:val="00A7265F"/>
    <w:rsid w:val="00AD644B"/>
    <w:rsid w:val="00AF55CD"/>
    <w:rsid w:val="00AF6B1D"/>
    <w:rsid w:val="00B57661"/>
    <w:rsid w:val="00B65537"/>
    <w:rsid w:val="00B70189"/>
    <w:rsid w:val="00B76F10"/>
    <w:rsid w:val="00B96B78"/>
    <w:rsid w:val="00B97415"/>
    <w:rsid w:val="00B977BE"/>
    <w:rsid w:val="00BC36AC"/>
    <w:rsid w:val="00BC6FC5"/>
    <w:rsid w:val="00BD1328"/>
    <w:rsid w:val="00BF4018"/>
    <w:rsid w:val="00C024D6"/>
    <w:rsid w:val="00C41139"/>
    <w:rsid w:val="00C61F81"/>
    <w:rsid w:val="00C876BB"/>
    <w:rsid w:val="00CA4757"/>
    <w:rsid w:val="00CA4E6D"/>
    <w:rsid w:val="00CC6D69"/>
    <w:rsid w:val="00CD06A7"/>
    <w:rsid w:val="00D03136"/>
    <w:rsid w:val="00D060DF"/>
    <w:rsid w:val="00D16631"/>
    <w:rsid w:val="00D23225"/>
    <w:rsid w:val="00D40755"/>
    <w:rsid w:val="00D83EF3"/>
    <w:rsid w:val="00D96E87"/>
    <w:rsid w:val="00DF006E"/>
    <w:rsid w:val="00DF61FD"/>
    <w:rsid w:val="00E267C1"/>
    <w:rsid w:val="00E7351D"/>
    <w:rsid w:val="00E75B85"/>
    <w:rsid w:val="00EA54B1"/>
    <w:rsid w:val="00EC4E98"/>
    <w:rsid w:val="00F00110"/>
    <w:rsid w:val="00F011BD"/>
    <w:rsid w:val="00F12BBB"/>
    <w:rsid w:val="00F20B76"/>
    <w:rsid w:val="00F2413B"/>
    <w:rsid w:val="00F61FDA"/>
    <w:rsid w:val="00F6351E"/>
    <w:rsid w:val="00F70B42"/>
    <w:rsid w:val="00FE2D6B"/>
    <w:rsid w:val="00FE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06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706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9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A7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77B4"/>
  </w:style>
  <w:style w:type="paragraph" w:styleId="a7">
    <w:name w:val="footer"/>
    <w:basedOn w:val="a"/>
    <w:link w:val="a8"/>
    <w:uiPriority w:val="99"/>
    <w:unhideWhenUsed/>
    <w:rsid w:val="008A7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77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06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706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9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A7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77B4"/>
  </w:style>
  <w:style w:type="paragraph" w:styleId="a7">
    <w:name w:val="footer"/>
    <w:basedOn w:val="a"/>
    <w:link w:val="a8"/>
    <w:uiPriority w:val="99"/>
    <w:unhideWhenUsed/>
    <w:rsid w:val="008A7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7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4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6&amp;n=143490&amp;dst=10001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256&amp;n=178775&amp;dst=10057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56&amp;n=179504&amp;dst=1050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2200</TotalTime>
  <Pages>18</Pages>
  <Words>6027</Words>
  <Characters>34354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2024-04-01T07:37:00Z</cp:lastPrinted>
  <dcterms:created xsi:type="dcterms:W3CDTF">2024-03-05T08:54:00Z</dcterms:created>
  <dcterms:modified xsi:type="dcterms:W3CDTF">2024-04-15T12:31:00Z</dcterms:modified>
</cp:coreProperties>
</file>