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C2" w:rsidRDefault="0087532C" w:rsidP="00B04BC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EE2884" w:rsidRDefault="00AE633B" w:rsidP="00B04BC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  <w:r w:rsidR="00EE2884">
        <w:rPr>
          <w:sz w:val="28"/>
          <w:szCs w:val="28"/>
        </w:rPr>
        <w:t xml:space="preserve"> о проведении публичного конкурса </w:t>
      </w:r>
    </w:p>
    <w:p w:rsidR="00AE633B" w:rsidRDefault="00EE2884" w:rsidP="00B04B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контрольных цифр приема </w:t>
      </w:r>
      <w:r w:rsidR="00AE633B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</w:t>
      </w:r>
      <w:r w:rsidR="00AE633B">
        <w:rPr>
          <w:sz w:val="28"/>
          <w:szCs w:val="28"/>
        </w:rPr>
        <w:t xml:space="preserve">профессиям, </w:t>
      </w:r>
      <w:r>
        <w:rPr>
          <w:sz w:val="28"/>
          <w:szCs w:val="28"/>
        </w:rPr>
        <w:t xml:space="preserve">специальностям и направлениям </w:t>
      </w:r>
      <w:r w:rsidR="00AE633B">
        <w:rPr>
          <w:sz w:val="28"/>
          <w:szCs w:val="28"/>
        </w:rPr>
        <w:t xml:space="preserve">подготовки для обучения на территории городского округа Тольятти по образовательным программам </w:t>
      </w:r>
    </w:p>
    <w:p w:rsidR="00AE633B" w:rsidRDefault="00EE2884" w:rsidP="00AE633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 за счет бюджетных ассигнований бюджета городского округа Тольятти</w:t>
      </w:r>
      <w:r w:rsidR="00AE6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633B">
        <w:rPr>
          <w:sz w:val="28"/>
          <w:szCs w:val="28"/>
        </w:rPr>
        <w:t>на 202</w:t>
      </w:r>
      <w:r w:rsidR="00086B7A">
        <w:rPr>
          <w:sz w:val="28"/>
          <w:szCs w:val="28"/>
        </w:rPr>
        <w:t>1</w:t>
      </w:r>
      <w:r w:rsidR="00AE633B">
        <w:rPr>
          <w:sz w:val="28"/>
          <w:szCs w:val="28"/>
        </w:rPr>
        <w:t>-202</w:t>
      </w:r>
      <w:r w:rsidR="00086B7A">
        <w:rPr>
          <w:sz w:val="28"/>
          <w:szCs w:val="28"/>
        </w:rPr>
        <w:t>2</w:t>
      </w:r>
      <w:r w:rsidR="00AE633B">
        <w:rPr>
          <w:sz w:val="28"/>
          <w:szCs w:val="28"/>
        </w:rPr>
        <w:t xml:space="preserve"> учебный год</w:t>
      </w:r>
    </w:p>
    <w:p w:rsidR="00AE633B" w:rsidRDefault="00AE633B" w:rsidP="00AE633B">
      <w:pPr>
        <w:jc w:val="center"/>
        <w:rPr>
          <w:sz w:val="28"/>
          <w:szCs w:val="28"/>
        </w:rPr>
      </w:pPr>
    </w:p>
    <w:p w:rsidR="00AE633B" w:rsidRDefault="00AE633B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4490F">
        <w:rPr>
          <w:b/>
          <w:sz w:val="28"/>
          <w:szCs w:val="28"/>
        </w:rPr>
        <w:t>Предметом</w:t>
      </w:r>
      <w:r>
        <w:rPr>
          <w:sz w:val="28"/>
          <w:szCs w:val="28"/>
        </w:rPr>
        <w:t xml:space="preserve"> проведения публичного конкурса </w:t>
      </w:r>
      <w:r w:rsidRPr="00AE633B">
        <w:rPr>
          <w:sz w:val="28"/>
          <w:szCs w:val="28"/>
        </w:rPr>
        <w:t>по распределению контрольных цифр приема граждан по профессиям, специальностям и направлениям подготовки для обучения на территории городского округа Тольятти по образовательным программам высшего образования за счет бюджетных ассигнований бюджета городского округа Тольятти  на 202</w:t>
      </w:r>
      <w:r w:rsidR="00086B7A">
        <w:rPr>
          <w:sz w:val="28"/>
          <w:szCs w:val="28"/>
        </w:rPr>
        <w:t>1</w:t>
      </w:r>
      <w:r w:rsidRPr="00AE633B">
        <w:rPr>
          <w:sz w:val="28"/>
          <w:szCs w:val="28"/>
        </w:rPr>
        <w:t>-202</w:t>
      </w:r>
      <w:r w:rsidR="00086B7A">
        <w:rPr>
          <w:sz w:val="28"/>
          <w:szCs w:val="28"/>
        </w:rPr>
        <w:t>2</w:t>
      </w:r>
      <w:r w:rsidRPr="00AE633B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(далее</w:t>
      </w:r>
      <w:r w:rsidR="00C4490F">
        <w:rPr>
          <w:sz w:val="28"/>
          <w:szCs w:val="28"/>
        </w:rPr>
        <w:t>, соответственно – К</w:t>
      </w:r>
      <w:r>
        <w:rPr>
          <w:sz w:val="28"/>
          <w:szCs w:val="28"/>
        </w:rPr>
        <w:t>онкурс</w:t>
      </w:r>
      <w:r w:rsidR="00C4490F">
        <w:rPr>
          <w:sz w:val="28"/>
          <w:szCs w:val="28"/>
        </w:rPr>
        <w:t>, КЦП</w:t>
      </w:r>
      <w:r>
        <w:rPr>
          <w:sz w:val="28"/>
          <w:szCs w:val="28"/>
        </w:rPr>
        <w:t>) является</w:t>
      </w:r>
      <w:r w:rsidR="006B0E8F">
        <w:rPr>
          <w:sz w:val="28"/>
          <w:szCs w:val="28"/>
        </w:rPr>
        <w:t xml:space="preserve"> распределение организациям, осуществляющим на территории городского округа Тольятти образовательную деятельность по образовательным программам высшего образования</w:t>
      </w:r>
      <w:proofErr w:type="gramEnd"/>
      <w:r w:rsidR="006B0E8F">
        <w:rPr>
          <w:sz w:val="28"/>
          <w:szCs w:val="28"/>
        </w:rPr>
        <w:t xml:space="preserve"> – программам </w:t>
      </w:r>
      <w:proofErr w:type="spellStart"/>
      <w:r w:rsidR="006B0E8F">
        <w:rPr>
          <w:sz w:val="28"/>
          <w:szCs w:val="28"/>
        </w:rPr>
        <w:t>спец</w:t>
      </w:r>
      <w:r w:rsidR="00C4490F">
        <w:rPr>
          <w:sz w:val="28"/>
          <w:szCs w:val="28"/>
        </w:rPr>
        <w:t>иалитета</w:t>
      </w:r>
      <w:proofErr w:type="spellEnd"/>
      <w:r w:rsidR="00C4490F">
        <w:rPr>
          <w:sz w:val="28"/>
          <w:szCs w:val="28"/>
        </w:rPr>
        <w:t xml:space="preserve"> КЦП</w:t>
      </w:r>
      <w:r w:rsidR="006B0E8F">
        <w:rPr>
          <w:sz w:val="28"/>
          <w:szCs w:val="28"/>
        </w:rPr>
        <w:t xml:space="preserve"> на 202</w:t>
      </w:r>
      <w:r w:rsidR="00086B7A">
        <w:rPr>
          <w:sz w:val="28"/>
          <w:szCs w:val="28"/>
        </w:rPr>
        <w:t>1</w:t>
      </w:r>
      <w:r w:rsidR="006B0E8F">
        <w:rPr>
          <w:sz w:val="28"/>
          <w:szCs w:val="28"/>
        </w:rPr>
        <w:t>-202</w:t>
      </w:r>
      <w:r w:rsidR="00086B7A">
        <w:rPr>
          <w:sz w:val="28"/>
          <w:szCs w:val="28"/>
        </w:rPr>
        <w:t>2</w:t>
      </w:r>
      <w:r w:rsidR="006B0E8F">
        <w:rPr>
          <w:sz w:val="28"/>
          <w:szCs w:val="28"/>
        </w:rPr>
        <w:t xml:space="preserve"> учебный год.</w:t>
      </w:r>
    </w:p>
    <w:p w:rsidR="006B0E8F" w:rsidRDefault="00C4490F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490F">
        <w:rPr>
          <w:b/>
          <w:sz w:val="28"/>
          <w:szCs w:val="28"/>
        </w:rPr>
        <w:t>Участниками</w:t>
      </w:r>
      <w:r>
        <w:rPr>
          <w:sz w:val="28"/>
          <w:szCs w:val="28"/>
        </w:rPr>
        <w:t xml:space="preserve"> К</w:t>
      </w:r>
      <w:r w:rsidR="006B0E8F">
        <w:rPr>
          <w:sz w:val="28"/>
          <w:szCs w:val="28"/>
        </w:rPr>
        <w:t xml:space="preserve">онкурса являются образовательные организации высшего образования, имеющие лицензию на осуществление образовательной деятельности по заявленным образовательным программам, </w:t>
      </w:r>
      <w:r w:rsidR="00FB5C0E">
        <w:rPr>
          <w:sz w:val="28"/>
          <w:szCs w:val="28"/>
        </w:rPr>
        <w:t xml:space="preserve">государственную аккредитацию по образовательным программам высшего образования, осуществляющие образовательную деятельность на территории городского округа Тольятти, подавшие заявку </w:t>
      </w:r>
      <w:r>
        <w:rPr>
          <w:sz w:val="28"/>
          <w:szCs w:val="28"/>
        </w:rPr>
        <w:t>на участие в К</w:t>
      </w:r>
      <w:r w:rsidR="00FB5C0E">
        <w:rPr>
          <w:sz w:val="28"/>
          <w:szCs w:val="28"/>
        </w:rPr>
        <w:t>онкурсе на уста</w:t>
      </w:r>
      <w:r>
        <w:rPr>
          <w:sz w:val="28"/>
          <w:szCs w:val="28"/>
        </w:rPr>
        <w:t>новление КЦП</w:t>
      </w:r>
      <w:r w:rsidR="00FB5C0E">
        <w:rPr>
          <w:sz w:val="28"/>
          <w:szCs w:val="28"/>
        </w:rPr>
        <w:t>.</w:t>
      </w:r>
    </w:p>
    <w:p w:rsidR="00FB5C0E" w:rsidRDefault="00C4490F" w:rsidP="006F451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КЦП</w:t>
      </w:r>
      <w:r w:rsidR="00FB5C0E">
        <w:rPr>
          <w:sz w:val="28"/>
          <w:szCs w:val="28"/>
        </w:rPr>
        <w:t xml:space="preserve"> также могут быть установлены по профессиям, специальностям и направлениям подготовки по не имеющим государственной аккредитации образовательным программам высшего образования, если </w:t>
      </w:r>
      <w:r w:rsidR="000E2E4C">
        <w:rPr>
          <w:sz w:val="28"/>
          <w:szCs w:val="28"/>
        </w:rPr>
        <w:t>государственная аккредитация по указанным образовательным программам ранее не проводилась при условии исполнения образовательной организацией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приема, но не позднее, чем до завершения обучения</w:t>
      </w:r>
      <w:proofErr w:type="gramEnd"/>
      <w:r w:rsidR="000E2E4C">
        <w:rPr>
          <w:sz w:val="28"/>
          <w:szCs w:val="28"/>
        </w:rPr>
        <w:t xml:space="preserve"> обучающихся, принятых на обучение в пределах установленных контрольных цифр приема по соответствующим профессиям, </w:t>
      </w:r>
      <w:r w:rsidR="000E2E4C">
        <w:rPr>
          <w:sz w:val="28"/>
          <w:szCs w:val="28"/>
        </w:rPr>
        <w:lastRenderedPageBreak/>
        <w:t>специальностям и направлениям подготовки по согласованию с администрацией городского округа Тольятти.</w:t>
      </w:r>
    </w:p>
    <w:p w:rsidR="000E2E4C" w:rsidRDefault="004B155C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490F" w:rsidRPr="00C4490F">
        <w:rPr>
          <w:b/>
          <w:sz w:val="28"/>
          <w:szCs w:val="28"/>
        </w:rPr>
        <w:t>КЦП</w:t>
      </w:r>
      <w:r w:rsidR="00CF1BD0">
        <w:rPr>
          <w:sz w:val="28"/>
          <w:szCs w:val="28"/>
        </w:rPr>
        <w:t xml:space="preserve"> по результатам конкурса </w:t>
      </w:r>
      <w:r w:rsidR="00CF1BD0" w:rsidRPr="00C4490F">
        <w:rPr>
          <w:b/>
          <w:sz w:val="28"/>
          <w:szCs w:val="28"/>
        </w:rPr>
        <w:t>распределяются</w:t>
      </w:r>
      <w:r w:rsidR="00CF1BD0">
        <w:rPr>
          <w:sz w:val="28"/>
          <w:szCs w:val="28"/>
        </w:rPr>
        <w:t xml:space="preserve"> отдельно по каждой профессии, специальности, направлению подготовки в объеме, согласно </w:t>
      </w:r>
      <w:r w:rsidR="00CF1BD0" w:rsidRPr="00F83B99">
        <w:rPr>
          <w:b/>
          <w:sz w:val="28"/>
          <w:szCs w:val="28"/>
        </w:rPr>
        <w:t>приложению № 1</w:t>
      </w:r>
      <w:r w:rsidR="00CF1BD0">
        <w:rPr>
          <w:sz w:val="28"/>
          <w:szCs w:val="28"/>
        </w:rPr>
        <w:t>.</w:t>
      </w:r>
    </w:p>
    <w:p w:rsidR="00CF1BD0" w:rsidRDefault="006F2717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196D">
        <w:rPr>
          <w:sz w:val="28"/>
          <w:szCs w:val="28"/>
        </w:rPr>
        <w:t xml:space="preserve"> </w:t>
      </w:r>
      <w:r w:rsidR="00C4490F" w:rsidRPr="00C4490F">
        <w:rPr>
          <w:b/>
          <w:sz w:val="28"/>
          <w:szCs w:val="28"/>
        </w:rPr>
        <w:t>КЦП</w:t>
      </w:r>
      <w:r w:rsidR="00CF1BD0">
        <w:rPr>
          <w:sz w:val="28"/>
          <w:szCs w:val="28"/>
        </w:rPr>
        <w:t xml:space="preserve"> в рамках каждой профессии, специальности и направлению подготовки </w:t>
      </w:r>
      <w:r w:rsidR="00CF1BD0" w:rsidRPr="00C4490F">
        <w:rPr>
          <w:b/>
          <w:sz w:val="28"/>
          <w:szCs w:val="28"/>
        </w:rPr>
        <w:t>устанавливаются</w:t>
      </w:r>
      <w:r w:rsidR="00CF1BD0">
        <w:rPr>
          <w:sz w:val="28"/>
          <w:szCs w:val="28"/>
        </w:rPr>
        <w:t xml:space="preserve"> в объеме, не превышающем предложения по установлению контрольных цифр приема, указанных в заявке.</w:t>
      </w:r>
    </w:p>
    <w:p w:rsidR="004B155C" w:rsidRDefault="004B155C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4490F">
        <w:rPr>
          <w:b/>
          <w:sz w:val="28"/>
          <w:szCs w:val="28"/>
        </w:rPr>
        <w:t>Дата начала</w:t>
      </w:r>
      <w:r>
        <w:rPr>
          <w:sz w:val="28"/>
          <w:szCs w:val="28"/>
        </w:rPr>
        <w:t xml:space="preserve"> подачи заявок на участие в конкурсе –</w:t>
      </w:r>
      <w:r w:rsidR="00EE41A8">
        <w:rPr>
          <w:sz w:val="28"/>
          <w:szCs w:val="28"/>
        </w:rPr>
        <w:t xml:space="preserve"> </w:t>
      </w:r>
      <w:r w:rsidR="00086B7A">
        <w:rPr>
          <w:sz w:val="28"/>
          <w:szCs w:val="28"/>
        </w:rPr>
        <w:t>20</w:t>
      </w:r>
      <w:r w:rsidR="00EE41A8">
        <w:rPr>
          <w:sz w:val="28"/>
          <w:szCs w:val="28"/>
        </w:rPr>
        <w:t xml:space="preserve"> </w:t>
      </w:r>
      <w:r w:rsidR="00086B7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года</w:t>
      </w:r>
      <w:r w:rsidR="00471366">
        <w:rPr>
          <w:sz w:val="28"/>
          <w:szCs w:val="28"/>
        </w:rPr>
        <w:t>.</w:t>
      </w:r>
    </w:p>
    <w:p w:rsidR="004B155C" w:rsidRDefault="004B155C" w:rsidP="00471366">
      <w:pPr>
        <w:spacing w:line="360" w:lineRule="auto"/>
        <w:ind w:firstLine="708"/>
        <w:jc w:val="both"/>
        <w:rPr>
          <w:sz w:val="28"/>
          <w:szCs w:val="28"/>
        </w:rPr>
      </w:pPr>
      <w:r w:rsidRPr="00C4490F">
        <w:rPr>
          <w:b/>
          <w:sz w:val="28"/>
          <w:szCs w:val="28"/>
        </w:rPr>
        <w:t>Место приема</w:t>
      </w:r>
      <w:r>
        <w:rPr>
          <w:sz w:val="28"/>
          <w:szCs w:val="28"/>
        </w:rPr>
        <w:t xml:space="preserve"> заявок – 445020, г. Тольятти, ул. </w:t>
      </w:r>
      <w:proofErr w:type="gramStart"/>
      <w:r>
        <w:rPr>
          <w:sz w:val="28"/>
          <w:szCs w:val="28"/>
        </w:rPr>
        <w:t>Белорусская</w:t>
      </w:r>
      <w:proofErr w:type="gramEnd"/>
      <w:r>
        <w:rPr>
          <w:sz w:val="28"/>
          <w:szCs w:val="28"/>
        </w:rPr>
        <w:t>, 33</w:t>
      </w:r>
      <w:r w:rsidR="00EE41A8">
        <w:rPr>
          <w:sz w:val="28"/>
          <w:szCs w:val="28"/>
        </w:rPr>
        <w:t>, департамент культуры, кабинет 807а</w:t>
      </w:r>
      <w:r w:rsidR="00471366">
        <w:rPr>
          <w:sz w:val="28"/>
          <w:szCs w:val="28"/>
        </w:rPr>
        <w:t>.</w:t>
      </w:r>
    </w:p>
    <w:p w:rsidR="00EE41A8" w:rsidRDefault="00EE41A8" w:rsidP="00471366">
      <w:pPr>
        <w:spacing w:line="360" w:lineRule="auto"/>
        <w:ind w:firstLine="708"/>
        <w:jc w:val="both"/>
        <w:rPr>
          <w:sz w:val="28"/>
          <w:szCs w:val="28"/>
        </w:rPr>
      </w:pPr>
      <w:r w:rsidRPr="00C4490F">
        <w:rPr>
          <w:b/>
          <w:sz w:val="28"/>
          <w:szCs w:val="28"/>
        </w:rPr>
        <w:t>Время приема</w:t>
      </w:r>
      <w:r>
        <w:rPr>
          <w:sz w:val="28"/>
          <w:szCs w:val="28"/>
        </w:rPr>
        <w:t xml:space="preserve"> заявок – ежедневно по рабочим дням с 08 часов до 12 часов и с 13 часов до 17 часов</w:t>
      </w:r>
      <w:r w:rsidR="00086B7A">
        <w:rPr>
          <w:sz w:val="28"/>
          <w:szCs w:val="28"/>
        </w:rPr>
        <w:t>, пятница 08 часов до 12 часов и с 13 часов до 16 часов</w:t>
      </w:r>
      <w:r>
        <w:rPr>
          <w:sz w:val="28"/>
          <w:szCs w:val="28"/>
        </w:rPr>
        <w:t>.</w:t>
      </w:r>
    </w:p>
    <w:p w:rsidR="00EE41A8" w:rsidRDefault="00EE41A8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4490F">
        <w:rPr>
          <w:b/>
          <w:sz w:val="28"/>
          <w:szCs w:val="28"/>
        </w:rPr>
        <w:t>Дата окончания</w:t>
      </w:r>
      <w:r>
        <w:rPr>
          <w:sz w:val="28"/>
          <w:szCs w:val="28"/>
        </w:rPr>
        <w:t xml:space="preserve"> приема заявок </w:t>
      </w:r>
      <w:r w:rsidR="00B040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6B7A">
        <w:rPr>
          <w:sz w:val="28"/>
          <w:szCs w:val="28"/>
        </w:rPr>
        <w:t>31 августа</w:t>
      </w:r>
      <w:r w:rsidR="00B040B9">
        <w:rPr>
          <w:sz w:val="28"/>
          <w:szCs w:val="28"/>
        </w:rPr>
        <w:t xml:space="preserve"> 2020 года в 17.00 часов</w:t>
      </w:r>
      <w:r w:rsidR="00471366">
        <w:rPr>
          <w:sz w:val="28"/>
          <w:szCs w:val="28"/>
        </w:rPr>
        <w:t>.</w:t>
      </w:r>
    </w:p>
    <w:p w:rsidR="00B040B9" w:rsidRPr="00B040B9" w:rsidRDefault="00B040B9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4490F">
        <w:rPr>
          <w:b/>
          <w:sz w:val="28"/>
          <w:szCs w:val="28"/>
        </w:rPr>
        <w:t>Заседание конкурсной комиссии</w:t>
      </w:r>
      <w:r>
        <w:rPr>
          <w:sz w:val="28"/>
          <w:szCs w:val="28"/>
        </w:rPr>
        <w:t xml:space="preserve"> и вскрытие конвертов с конкурсными заявками – </w:t>
      </w:r>
      <w:r w:rsidR="00086B7A">
        <w:rPr>
          <w:sz w:val="28"/>
          <w:szCs w:val="28"/>
        </w:rPr>
        <w:t>04 сентября</w:t>
      </w:r>
      <w:r>
        <w:rPr>
          <w:sz w:val="28"/>
          <w:szCs w:val="28"/>
        </w:rPr>
        <w:t xml:space="preserve"> 2020 года. </w:t>
      </w:r>
    </w:p>
    <w:p w:rsidR="00B040B9" w:rsidRDefault="00B040B9" w:rsidP="006F2717">
      <w:pPr>
        <w:spacing w:line="360" w:lineRule="auto"/>
        <w:ind w:firstLine="708"/>
        <w:jc w:val="both"/>
        <w:rPr>
          <w:sz w:val="28"/>
          <w:szCs w:val="28"/>
        </w:rPr>
      </w:pPr>
      <w:r w:rsidRPr="00B040B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4490F">
        <w:rPr>
          <w:b/>
          <w:sz w:val="28"/>
          <w:szCs w:val="28"/>
        </w:rPr>
        <w:t>Требования к содержанию и оформлению заявок</w:t>
      </w:r>
      <w:r>
        <w:rPr>
          <w:sz w:val="28"/>
          <w:szCs w:val="28"/>
        </w:rPr>
        <w:t>.</w:t>
      </w:r>
    </w:p>
    <w:p w:rsidR="00B040B9" w:rsidRDefault="00471366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имеет п</w:t>
      </w:r>
      <w:r w:rsidR="007311B9">
        <w:rPr>
          <w:sz w:val="28"/>
          <w:szCs w:val="28"/>
        </w:rPr>
        <w:t>раво заявить о своем участии в К</w:t>
      </w:r>
      <w:r>
        <w:rPr>
          <w:sz w:val="28"/>
          <w:szCs w:val="28"/>
        </w:rPr>
        <w:t>онкурсе по одной или нескольким специальностям и направлениям подготовки и (или) укрупненным группам специальностей и направлений подготовки, распределяемых по условиям конкурса.</w:t>
      </w:r>
    </w:p>
    <w:p w:rsidR="006F451E" w:rsidRDefault="006F451E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подаются образовательными организациями по форме согласно </w:t>
      </w:r>
      <w:r w:rsidRPr="00F83B99">
        <w:rPr>
          <w:b/>
          <w:sz w:val="28"/>
          <w:szCs w:val="28"/>
        </w:rPr>
        <w:t xml:space="preserve">приложению </w:t>
      </w:r>
      <w:r w:rsidR="00F83B99">
        <w:rPr>
          <w:b/>
          <w:sz w:val="28"/>
          <w:szCs w:val="28"/>
        </w:rPr>
        <w:t xml:space="preserve">№ </w:t>
      </w:r>
      <w:r w:rsidRPr="00F83B9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F451E" w:rsidRDefault="006F451E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прилагаются:</w:t>
      </w:r>
    </w:p>
    <w:p w:rsidR="006F451E" w:rsidRDefault="006F451E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копии учредительных документов образовательной организации</w:t>
      </w:r>
      <w:r w:rsidR="00643118">
        <w:rPr>
          <w:sz w:val="28"/>
          <w:szCs w:val="28"/>
        </w:rPr>
        <w:t xml:space="preserve"> (копия устава);</w:t>
      </w:r>
    </w:p>
    <w:p w:rsidR="00643118" w:rsidRDefault="00643118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лицензии на осуществление образовательной деятельности по соответствующим специальностям и направлениям подготовки;</w:t>
      </w:r>
    </w:p>
    <w:p w:rsidR="00643118" w:rsidRDefault="00643118" w:rsidP="0047136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в) копия свидетельства о государственной аккредитации образовательной организации по соответствующим специальностям и направлениям подготовки, а в случае его отсутствия – </w:t>
      </w:r>
      <w:r w:rsidR="001B3E8F">
        <w:rPr>
          <w:sz w:val="28"/>
          <w:szCs w:val="28"/>
        </w:rPr>
        <w:t xml:space="preserve">документы, свидетельствующие о соблюдении образовательной организацией </w:t>
      </w:r>
      <w:r w:rsidR="001B3E8F" w:rsidRPr="001B3E8F">
        <w:rPr>
          <w:sz w:val="28"/>
          <w:szCs w:val="28"/>
        </w:rPr>
        <w:t>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приема, но не позднее, чем до завершения обучения обучающихся, принятых на обучение в пределах установленных контрольных цифр приема</w:t>
      </w:r>
      <w:proofErr w:type="gramEnd"/>
      <w:r w:rsidR="001B3E8F" w:rsidRPr="001B3E8F">
        <w:rPr>
          <w:sz w:val="28"/>
          <w:szCs w:val="28"/>
        </w:rPr>
        <w:t xml:space="preserve"> по соответствующим профессиям, специальностям и направлениям подготовки</w:t>
      </w:r>
      <w:r w:rsidR="001B3E8F">
        <w:rPr>
          <w:sz w:val="28"/>
          <w:szCs w:val="28"/>
        </w:rPr>
        <w:t>;</w:t>
      </w:r>
    </w:p>
    <w:p w:rsidR="001B3E8F" w:rsidRDefault="001B3E8F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таблица исходных данных для определения показателей деятельности образовательной организации по форме, установленной </w:t>
      </w:r>
      <w:r w:rsidRPr="00F83B99">
        <w:rPr>
          <w:b/>
          <w:sz w:val="28"/>
          <w:szCs w:val="28"/>
        </w:rPr>
        <w:t>приложением</w:t>
      </w:r>
      <w:r w:rsidR="00F83B99">
        <w:rPr>
          <w:b/>
          <w:sz w:val="28"/>
          <w:szCs w:val="28"/>
        </w:rPr>
        <w:t xml:space="preserve"> №</w:t>
      </w:r>
      <w:r w:rsidRPr="00F83B99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1B3E8F" w:rsidRDefault="001B3E8F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подтверждающий полномочия лица на подписание и подачу заявки, подписание прилагаемых к заявке документов;</w:t>
      </w:r>
    </w:p>
    <w:p w:rsidR="00A72425" w:rsidRDefault="00A72425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опись представляемых документов.</w:t>
      </w:r>
    </w:p>
    <w:p w:rsidR="001B3E8F" w:rsidRDefault="001B3E8F" w:rsidP="004713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представляемые в копии, должны быть заверены надлежащим образом.</w:t>
      </w:r>
      <w:r w:rsidR="00A72425">
        <w:rPr>
          <w:sz w:val="28"/>
          <w:szCs w:val="28"/>
        </w:rPr>
        <w:t xml:space="preserve"> Каждая форма конкурсной заявки должна быть </w:t>
      </w:r>
      <w:proofErr w:type="gramStart"/>
      <w:r w:rsidR="00A72425">
        <w:rPr>
          <w:sz w:val="28"/>
          <w:szCs w:val="28"/>
        </w:rPr>
        <w:t>подписана руководителем участника конкурса и заверена</w:t>
      </w:r>
      <w:proofErr w:type="gramEnd"/>
      <w:r w:rsidR="00A72425">
        <w:rPr>
          <w:sz w:val="28"/>
          <w:szCs w:val="28"/>
        </w:rPr>
        <w:t xml:space="preserve"> печатью участника конкурса.</w:t>
      </w:r>
    </w:p>
    <w:p w:rsidR="00A72425" w:rsidRDefault="00A72425" w:rsidP="00A7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Прошитая и пронумерованная конкурсная заявка (с приложениями) представляется в запечатанном конверте. Конверт должен быть маркирован следующим образом: «Заявка на участие в публичном конкурсе по распределению контрольных цифр приема граждан по профессиям, специальностям и направлениям подготовки </w:t>
      </w:r>
      <w:r w:rsidRPr="00A72425">
        <w:rPr>
          <w:sz w:val="28"/>
          <w:szCs w:val="28"/>
        </w:rPr>
        <w:t>для обучения на территории городского округа Тольятти по образовательным программам высшего образования за счет бюджетных ассигнований бюджета городского округа Тольятти на 202</w:t>
      </w:r>
      <w:r w:rsidR="00086B7A">
        <w:rPr>
          <w:sz w:val="28"/>
          <w:szCs w:val="28"/>
        </w:rPr>
        <w:t>1</w:t>
      </w:r>
      <w:r w:rsidRPr="00A72425">
        <w:rPr>
          <w:sz w:val="28"/>
          <w:szCs w:val="28"/>
        </w:rPr>
        <w:t>-202</w:t>
      </w:r>
      <w:r w:rsidR="00086B7A">
        <w:rPr>
          <w:sz w:val="28"/>
          <w:szCs w:val="28"/>
        </w:rPr>
        <w:t>2</w:t>
      </w:r>
      <w:r w:rsidRPr="00A72425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»</w:t>
      </w:r>
      <w:r w:rsidR="00BF670C">
        <w:rPr>
          <w:sz w:val="28"/>
          <w:szCs w:val="28"/>
        </w:rPr>
        <w:t>.</w:t>
      </w:r>
    </w:p>
    <w:p w:rsidR="00BF670C" w:rsidRDefault="00BF670C" w:rsidP="00A7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конверте должно быть наименование и почтовый адрес образовательной организации.</w:t>
      </w:r>
    </w:p>
    <w:p w:rsidR="001228FF" w:rsidRDefault="00BF670C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7311B9">
        <w:rPr>
          <w:b/>
          <w:sz w:val="28"/>
          <w:szCs w:val="28"/>
        </w:rPr>
        <w:t>Рассмотрение заявок</w:t>
      </w:r>
      <w:r>
        <w:rPr>
          <w:sz w:val="28"/>
          <w:szCs w:val="28"/>
        </w:rPr>
        <w:t xml:space="preserve"> начинается с проверки на соответствие их требованиям к содержанию и оформлению, по результатам которой определяются образовательные организац</w:t>
      </w:r>
      <w:r w:rsidR="007311B9">
        <w:rPr>
          <w:sz w:val="28"/>
          <w:szCs w:val="28"/>
        </w:rPr>
        <w:t>ии, допущенные к участию в К</w:t>
      </w:r>
      <w:r>
        <w:rPr>
          <w:sz w:val="28"/>
          <w:szCs w:val="28"/>
        </w:rPr>
        <w:t xml:space="preserve">онкурсе, и образовательные организации, которым </w:t>
      </w:r>
      <w:r w:rsidR="007311B9">
        <w:rPr>
          <w:sz w:val="28"/>
          <w:szCs w:val="28"/>
        </w:rPr>
        <w:t>отказано в допуске к участию в К</w:t>
      </w:r>
      <w:r>
        <w:rPr>
          <w:sz w:val="28"/>
          <w:szCs w:val="28"/>
        </w:rPr>
        <w:t>онкурсе.</w:t>
      </w:r>
      <w:r w:rsidR="001228FF">
        <w:rPr>
          <w:sz w:val="28"/>
          <w:szCs w:val="28"/>
        </w:rPr>
        <w:t xml:space="preserve"> </w:t>
      </w:r>
    </w:p>
    <w:p w:rsidR="00BF670C" w:rsidRDefault="00BF670C" w:rsidP="006F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 участию в Конкурсе </w:t>
      </w:r>
      <w:r w:rsidRPr="007311B9">
        <w:rPr>
          <w:b/>
          <w:sz w:val="28"/>
          <w:szCs w:val="28"/>
        </w:rPr>
        <w:t>не допускаются</w:t>
      </w:r>
      <w:r>
        <w:rPr>
          <w:sz w:val="28"/>
          <w:szCs w:val="28"/>
        </w:rPr>
        <w:t xml:space="preserve"> образовательные организации в случае:</w:t>
      </w:r>
    </w:p>
    <w:p w:rsidR="00BF670C" w:rsidRDefault="00BF670C" w:rsidP="00A7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если учредителем образовательной организации не является орган местного самоуправления городского округа Тольятти;</w:t>
      </w:r>
    </w:p>
    <w:p w:rsidR="00BF670C" w:rsidRDefault="00BF670C" w:rsidP="00A7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если заявка не соответствует установленным требованиям.</w:t>
      </w:r>
    </w:p>
    <w:p w:rsidR="001228FF" w:rsidRDefault="001228FF" w:rsidP="00A7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Оценка, с</w:t>
      </w:r>
      <w:r w:rsidR="007311B9">
        <w:rPr>
          <w:sz w:val="28"/>
          <w:szCs w:val="28"/>
        </w:rPr>
        <w:t>опоставление заявок участников К</w:t>
      </w:r>
      <w:r>
        <w:rPr>
          <w:sz w:val="28"/>
          <w:szCs w:val="28"/>
        </w:rPr>
        <w:t>онкурса и определение результатов конкурса осуществляется конкурсной комиссией в соответствии с Методикой проведения конкурсного отбора и критерий принятия решения об установлении контрольных цифр приема граждан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бюджета городского округа Тольятти, утвержденной постановлением</w:t>
      </w:r>
      <w:r w:rsidR="00543DDD">
        <w:rPr>
          <w:sz w:val="28"/>
          <w:szCs w:val="28"/>
        </w:rPr>
        <w:t xml:space="preserve"> мэрии</w:t>
      </w:r>
      <w:proofErr w:type="gramEnd"/>
      <w:r w:rsidR="00543DDD">
        <w:rPr>
          <w:sz w:val="28"/>
          <w:szCs w:val="28"/>
        </w:rPr>
        <w:t xml:space="preserve"> городского округа Тольятти от 25.06.2015 № 2020-п/1.</w:t>
      </w:r>
    </w:p>
    <w:p w:rsidR="00C33499" w:rsidRDefault="00C33499" w:rsidP="00A7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Конкурсная комиссия принимает решение простым большинством голосов. При равном количестве голосов голос председательствующего на заседании является решающим.</w:t>
      </w:r>
    </w:p>
    <w:p w:rsidR="007311B9" w:rsidRDefault="00C57A06" w:rsidP="00A7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43DDD">
        <w:rPr>
          <w:sz w:val="28"/>
          <w:szCs w:val="28"/>
        </w:rPr>
        <w:t xml:space="preserve">. </w:t>
      </w:r>
      <w:r w:rsidR="007311B9" w:rsidRPr="00A371BF">
        <w:rPr>
          <w:b/>
          <w:sz w:val="28"/>
          <w:szCs w:val="28"/>
        </w:rPr>
        <w:t>Объявление результатов</w:t>
      </w:r>
      <w:r w:rsidR="007311B9">
        <w:rPr>
          <w:sz w:val="28"/>
          <w:szCs w:val="28"/>
        </w:rPr>
        <w:t xml:space="preserve"> Конкурса </w:t>
      </w:r>
      <w:proofErr w:type="gramStart"/>
      <w:r w:rsidR="007311B9">
        <w:rPr>
          <w:sz w:val="28"/>
          <w:szCs w:val="28"/>
        </w:rPr>
        <w:t>осуществляется конкурсной комиссией на третий рабочий день после подписания членами конкурсной комиссии протокола оценки и сопоставления заявок и направляется</w:t>
      </w:r>
      <w:proofErr w:type="gramEnd"/>
      <w:r w:rsidR="007311B9">
        <w:rPr>
          <w:sz w:val="28"/>
          <w:szCs w:val="28"/>
        </w:rPr>
        <w:t xml:space="preserve"> образовательным организациям.</w:t>
      </w:r>
    </w:p>
    <w:p w:rsidR="003F56A9" w:rsidRDefault="003F56A9" w:rsidP="003F56A9">
      <w:pPr>
        <w:spacing w:line="360" w:lineRule="auto"/>
        <w:ind w:firstLine="708"/>
        <w:jc w:val="right"/>
        <w:rPr>
          <w:sz w:val="28"/>
          <w:szCs w:val="28"/>
        </w:rPr>
        <w:sectPr w:rsidR="003F56A9" w:rsidSect="003F56A9">
          <w:headerReference w:type="even" r:id="rId9"/>
          <w:headerReference w:type="default" r:id="rId10"/>
          <w:pgSz w:w="11906" w:h="16838"/>
          <w:pgMar w:top="851" w:right="707" w:bottom="993" w:left="1814" w:header="720" w:footer="720" w:gutter="0"/>
          <w:cols w:space="708"/>
          <w:titlePg/>
          <w:docGrid w:linePitch="360"/>
        </w:sectPr>
      </w:pPr>
    </w:p>
    <w:p w:rsidR="00543DDD" w:rsidRDefault="00C57A06" w:rsidP="003F56A9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57A06" w:rsidRDefault="00C57A06" w:rsidP="00C57A06">
      <w:pPr>
        <w:spacing w:line="360" w:lineRule="auto"/>
        <w:ind w:firstLine="708"/>
        <w:jc w:val="right"/>
        <w:rPr>
          <w:sz w:val="28"/>
          <w:szCs w:val="28"/>
        </w:rPr>
      </w:pPr>
    </w:p>
    <w:p w:rsidR="006B7353" w:rsidRPr="006B7353" w:rsidRDefault="008C4CC2" w:rsidP="006B73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Контрольные</w:t>
      </w:r>
      <w:r w:rsidR="006B7353" w:rsidRPr="006B7353">
        <w:rPr>
          <w:rFonts w:eastAsia="Calibri"/>
          <w:sz w:val="28"/>
          <w:szCs w:val="28"/>
          <w:lang w:eastAsia="en-US"/>
        </w:rPr>
        <w:t xml:space="preserve"> цифр</w:t>
      </w:r>
      <w:r>
        <w:rPr>
          <w:rFonts w:eastAsia="Calibri"/>
          <w:sz w:val="28"/>
          <w:szCs w:val="28"/>
          <w:lang w:eastAsia="en-US"/>
        </w:rPr>
        <w:t>ы</w:t>
      </w:r>
      <w:r w:rsidR="006B7353" w:rsidRPr="006B7353">
        <w:rPr>
          <w:rFonts w:eastAsia="Calibri"/>
          <w:sz w:val="28"/>
          <w:szCs w:val="28"/>
          <w:lang w:eastAsia="en-US"/>
        </w:rPr>
        <w:t xml:space="preserve"> приема по специальностям и направлениям подготовки для обучения по образовательным программам высшего образования за счет бюджетных ассигнований, предусмотренных в бюджете городского округа Тольятти на 202</w:t>
      </w:r>
      <w:r w:rsidR="00086B7A">
        <w:rPr>
          <w:rFonts w:eastAsia="Calibri"/>
          <w:sz w:val="28"/>
          <w:szCs w:val="28"/>
          <w:lang w:eastAsia="en-US"/>
        </w:rPr>
        <w:t>1</w:t>
      </w:r>
      <w:r w:rsidR="006B7353" w:rsidRPr="006B7353">
        <w:rPr>
          <w:rFonts w:eastAsia="Calibri"/>
          <w:sz w:val="28"/>
          <w:szCs w:val="28"/>
          <w:lang w:eastAsia="en-US"/>
        </w:rPr>
        <w:t>-202</w:t>
      </w:r>
      <w:r w:rsidR="00086B7A">
        <w:rPr>
          <w:rFonts w:eastAsia="Calibri"/>
          <w:sz w:val="28"/>
          <w:szCs w:val="28"/>
          <w:lang w:eastAsia="en-US"/>
        </w:rPr>
        <w:t>2</w:t>
      </w:r>
      <w:r w:rsidR="006B7353" w:rsidRPr="006B7353">
        <w:rPr>
          <w:rFonts w:eastAsia="Calibri"/>
          <w:sz w:val="28"/>
          <w:szCs w:val="28"/>
          <w:lang w:eastAsia="en-US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27"/>
        <w:gridCol w:w="2386"/>
        <w:gridCol w:w="1815"/>
        <w:gridCol w:w="1129"/>
        <w:gridCol w:w="1333"/>
      </w:tblGrid>
      <w:tr w:rsidR="006B7353" w:rsidRPr="00676AA8" w:rsidTr="00676AA8">
        <w:tc>
          <w:tcPr>
            <w:tcW w:w="517" w:type="dxa"/>
            <w:shd w:val="clear" w:color="auto" w:fill="auto"/>
          </w:tcPr>
          <w:p w:rsidR="006B7353" w:rsidRPr="00676AA8" w:rsidRDefault="006B7353" w:rsidP="00676AA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95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Коды профессий, специальностей и направлений подготовки</w:t>
            </w:r>
          </w:p>
        </w:tc>
        <w:tc>
          <w:tcPr>
            <w:tcW w:w="2419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Наименование профессий, специальностей и направлений подготовки</w:t>
            </w:r>
          </w:p>
        </w:tc>
        <w:tc>
          <w:tcPr>
            <w:tcW w:w="1840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Уровень образования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B7353" w:rsidRPr="00676AA8" w:rsidRDefault="006B7353" w:rsidP="00086B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Контрольные цифры приема для обучения по образовательным программам высшего образования за счет бюджетных ассигнований, предусмотренных в бюджете городского округа Тольятти на 202</w:t>
            </w:r>
            <w:r w:rsidR="00086B7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76AA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086B7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76AA8">
              <w:rPr>
                <w:rFonts w:eastAsia="Calibri"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  <w:tr w:rsidR="006B7353" w:rsidRPr="00676AA8" w:rsidTr="00676AA8">
        <w:tc>
          <w:tcPr>
            <w:tcW w:w="517" w:type="dxa"/>
            <w:shd w:val="clear" w:color="auto" w:fill="auto"/>
          </w:tcPr>
          <w:p w:rsidR="006B7353" w:rsidRPr="00676AA8" w:rsidRDefault="006B7353" w:rsidP="00676AA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95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50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76AA8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76AA8">
              <w:rPr>
                <w:rFonts w:eastAsia="Calibri"/>
                <w:sz w:val="28"/>
                <w:szCs w:val="28"/>
                <w:lang w:eastAsia="en-US"/>
              </w:rPr>
              <w:t xml:space="preserve">. по очной форме обучения </w:t>
            </w:r>
          </w:p>
        </w:tc>
      </w:tr>
      <w:tr w:rsidR="006B7353" w:rsidRPr="00676AA8" w:rsidTr="00676AA8">
        <w:tc>
          <w:tcPr>
            <w:tcW w:w="517" w:type="dxa"/>
            <w:shd w:val="clear" w:color="auto" w:fill="auto"/>
          </w:tcPr>
          <w:p w:rsidR="006B7353" w:rsidRPr="00676AA8" w:rsidRDefault="006B7353" w:rsidP="00676AA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53.05.01</w:t>
            </w:r>
          </w:p>
        </w:tc>
        <w:tc>
          <w:tcPr>
            <w:tcW w:w="2419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Искусство концертного исполнительства</w:t>
            </w:r>
          </w:p>
        </w:tc>
        <w:tc>
          <w:tcPr>
            <w:tcW w:w="1840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 xml:space="preserve">Высшее образование – </w:t>
            </w:r>
            <w:proofErr w:type="spellStart"/>
            <w:r w:rsidRPr="00676AA8">
              <w:rPr>
                <w:rFonts w:eastAsia="Calibri"/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6B7353" w:rsidRPr="00676AA8" w:rsidRDefault="00086B7A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50" w:type="dxa"/>
            <w:shd w:val="clear" w:color="auto" w:fill="auto"/>
          </w:tcPr>
          <w:p w:rsidR="006B7353" w:rsidRPr="00676AA8" w:rsidRDefault="00086B7A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6B7353" w:rsidRPr="00676AA8" w:rsidTr="00676AA8">
        <w:tc>
          <w:tcPr>
            <w:tcW w:w="517" w:type="dxa"/>
            <w:shd w:val="clear" w:color="auto" w:fill="auto"/>
          </w:tcPr>
          <w:p w:rsidR="006B7353" w:rsidRPr="00676AA8" w:rsidRDefault="006B7353" w:rsidP="00676AA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53.05.04</w:t>
            </w:r>
          </w:p>
        </w:tc>
        <w:tc>
          <w:tcPr>
            <w:tcW w:w="2419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Музыкально-театральное искусство</w:t>
            </w:r>
          </w:p>
        </w:tc>
        <w:tc>
          <w:tcPr>
            <w:tcW w:w="1840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 xml:space="preserve">Высшее образование - </w:t>
            </w:r>
            <w:proofErr w:type="spellStart"/>
            <w:r w:rsidRPr="00676AA8">
              <w:rPr>
                <w:rFonts w:eastAsia="Calibri"/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6B7353" w:rsidRPr="00676AA8" w:rsidRDefault="006B7353" w:rsidP="006B73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6AA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6B7353" w:rsidRPr="006B7353" w:rsidRDefault="006B7353" w:rsidP="006B73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7A06" w:rsidRDefault="00C57A06" w:rsidP="006B7353">
      <w:pPr>
        <w:spacing w:line="360" w:lineRule="auto"/>
        <w:jc w:val="right"/>
        <w:rPr>
          <w:sz w:val="28"/>
          <w:szCs w:val="28"/>
        </w:rPr>
      </w:pPr>
    </w:p>
    <w:p w:rsidR="006B7353" w:rsidRDefault="006B7353" w:rsidP="006B7353">
      <w:pPr>
        <w:spacing w:line="360" w:lineRule="auto"/>
        <w:jc w:val="right"/>
        <w:rPr>
          <w:sz w:val="28"/>
          <w:szCs w:val="28"/>
        </w:rPr>
      </w:pPr>
    </w:p>
    <w:p w:rsidR="00B056C1" w:rsidRDefault="00B056C1" w:rsidP="006B7353">
      <w:pPr>
        <w:spacing w:line="360" w:lineRule="auto"/>
        <w:jc w:val="right"/>
        <w:rPr>
          <w:sz w:val="28"/>
          <w:szCs w:val="28"/>
        </w:rPr>
      </w:pPr>
    </w:p>
    <w:p w:rsidR="00B056C1" w:rsidRDefault="00B056C1" w:rsidP="006B7353">
      <w:pPr>
        <w:spacing w:line="360" w:lineRule="auto"/>
        <w:jc w:val="right"/>
        <w:rPr>
          <w:sz w:val="28"/>
          <w:szCs w:val="28"/>
        </w:rPr>
      </w:pPr>
    </w:p>
    <w:p w:rsidR="00B056C1" w:rsidRDefault="00B056C1" w:rsidP="006B7353">
      <w:pPr>
        <w:spacing w:line="360" w:lineRule="auto"/>
        <w:jc w:val="right"/>
        <w:rPr>
          <w:sz w:val="28"/>
          <w:szCs w:val="28"/>
        </w:rPr>
      </w:pPr>
    </w:p>
    <w:p w:rsidR="00B056C1" w:rsidRDefault="00B056C1" w:rsidP="006B7353">
      <w:pPr>
        <w:spacing w:line="360" w:lineRule="auto"/>
        <w:jc w:val="right"/>
        <w:rPr>
          <w:sz w:val="28"/>
          <w:szCs w:val="28"/>
        </w:rPr>
      </w:pPr>
    </w:p>
    <w:p w:rsidR="00B056C1" w:rsidRDefault="00B056C1" w:rsidP="006B73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056C1" w:rsidRDefault="00B056C1" w:rsidP="006B7353">
      <w:pPr>
        <w:spacing w:line="360" w:lineRule="auto"/>
        <w:jc w:val="right"/>
        <w:rPr>
          <w:sz w:val="28"/>
          <w:szCs w:val="28"/>
        </w:rPr>
      </w:pPr>
    </w:p>
    <w:p w:rsidR="00B056C1" w:rsidRDefault="00B056C1" w:rsidP="00BD77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056C1" w:rsidRDefault="00B056C1" w:rsidP="00BD77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на распределение контрольных цифр приема муниципальным образовательным организациям городского округа Тольятти, осуществляющим образовательную деятельность по образовательным программам высшего образования, за счет бюджетных ассигнований бюджета городского округа Тольятти, на 202</w:t>
      </w:r>
      <w:r w:rsidR="00086B7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86B7A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:rsidR="00B056C1" w:rsidRDefault="00B056C1" w:rsidP="00B056C1">
      <w:pPr>
        <w:spacing w:line="360" w:lineRule="auto"/>
        <w:jc w:val="center"/>
        <w:rPr>
          <w:sz w:val="28"/>
          <w:szCs w:val="28"/>
        </w:rPr>
      </w:pPr>
    </w:p>
    <w:p w:rsidR="00B056C1" w:rsidRDefault="00B056C1" w:rsidP="00B056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____________________ 20__г.</w:t>
      </w:r>
    </w:p>
    <w:p w:rsidR="00B056C1" w:rsidRDefault="00B056C1" w:rsidP="00B056C1">
      <w:pPr>
        <w:spacing w:line="360" w:lineRule="auto"/>
        <w:jc w:val="right"/>
        <w:rPr>
          <w:sz w:val="28"/>
          <w:szCs w:val="28"/>
        </w:rPr>
      </w:pPr>
    </w:p>
    <w:p w:rsidR="00B056C1" w:rsidRDefault="00B056C1" w:rsidP="00086B7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086B7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B056C1" w:rsidRPr="00086B7A" w:rsidRDefault="00B056C1" w:rsidP="00086B7A">
      <w:pPr>
        <w:jc w:val="center"/>
        <w:rPr>
          <w:szCs w:val="20"/>
          <w:vertAlign w:val="superscript"/>
        </w:rPr>
      </w:pPr>
      <w:r w:rsidRPr="00086B7A">
        <w:rPr>
          <w:szCs w:val="20"/>
          <w:vertAlign w:val="superscript"/>
        </w:rPr>
        <w:t>(полное наименование  образовательной организации, с указанием организационно-правовой формы)</w:t>
      </w:r>
    </w:p>
    <w:p w:rsidR="00B056C1" w:rsidRDefault="00B056C1" w:rsidP="00086B7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056C1" w:rsidRPr="00086B7A" w:rsidRDefault="00B056C1" w:rsidP="00086B7A">
      <w:pPr>
        <w:jc w:val="center"/>
        <w:rPr>
          <w:szCs w:val="20"/>
          <w:vertAlign w:val="superscript"/>
        </w:rPr>
      </w:pPr>
      <w:r w:rsidRPr="00086B7A">
        <w:rPr>
          <w:szCs w:val="20"/>
          <w:vertAlign w:val="superscript"/>
        </w:rPr>
        <w:t>(место нахождения, почтовый адрес)</w:t>
      </w:r>
    </w:p>
    <w:p w:rsidR="00B056C1" w:rsidRDefault="00B056C1" w:rsidP="00086B7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3F56A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</w:t>
      </w:r>
    </w:p>
    <w:p w:rsidR="00C4223E" w:rsidRPr="00086B7A" w:rsidRDefault="00C4223E" w:rsidP="00086B7A">
      <w:pPr>
        <w:jc w:val="center"/>
        <w:rPr>
          <w:szCs w:val="20"/>
          <w:vertAlign w:val="superscript"/>
        </w:rPr>
      </w:pPr>
      <w:r w:rsidRPr="00086B7A">
        <w:rPr>
          <w:szCs w:val="20"/>
          <w:vertAlign w:val="superscript"/>
        </w:rPr>
        <w:t>(орган администрации городского округа Тольятти, в ведомственном подчинении которого находится образовательная организация)</w:t>
      </w:r>
    </w:p>
    <w:p w:rsidR="00C4223E" w:rsidRDefault="00C4223E" w:rsidP="00086B7A">
      <w:pPr>
        <w:jc w:val="both"/>
      </w:pPr>
      <w:r w:rsidRPr="008147FF">
        <w:rPr>
          <w:sz w:val="28"/>
          <w:szCs w:val="28"/>
        </w:rPr>
        <w:t>в лице</w:t>
      </w:r>
      <w:r>
        <w:t xml:space="preserve"> _________________________________________</w:t>
      </w:r>
      <w:r w:rsidR="008147FF">
        <w:t>_____________________________,</w:t>
      </w:r>
    </w:p>
    <w:p w:rsidR="00C4223E" w:rsidRPr="00086B7A" w:rsidRDefault="008147FF" w:rsidP="00086B7A">
      <w:pPr>
        <w:jc w:val="center"/>
        <w:rPr>
          <w:szCs w:val="20"/>
          <w:vertAlign w:val="superscript"/>
        </w:rPr>
      </w:pPr>
      <w:r w:rsidRPr="00086B7A">
        <w:rPr>
          <w:szCs w:val="20"/>
          <w:vertAlign w:val="superscript"/>
        </w:rPr>
        <w:t>(Ф.И.О. и должность лица, уполномоченного представлять интересы образовательной организации)</w:t>
      </w:r>
    </w:p>
    <w:p w:rsidR="008147FF" w:rsidRDefault="008147FF" w:rsidP="00086B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</w:t>
      </w:r>
      <w:r w:rsidR="003F56A9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__________________________________,</w:t>
      </w:r>
    </w:p>
    <w:p w:rsidR="008147FF" w:rsidRPr="00086B7A" w:rsidRDefault="008147FF" w:rsidP="008147FF">
      <w:pPr>
        <w:spacing w:line="360" w:lineRule="auto"/>
        <w:jc w:val="center"/>
        <w:rPr>
          <w:szCs w:val="20"/>
          <w:vertAlign w:val="superscript"/>
        </w:rPr>
      </w:pPr>
      <w:r w:rsidRPr="00086B7A">
        <w:rPr>
          <w:szCs w:val="20"/>
          <w:vertAlign w:val="superscript"/>
        </w:rPr>
        <w:t>(документ, которым лицо наделяется полномочиями)</w:t>
      </w:r>
    </w:p>
    <w:p w:rsidR="005821FA" w:rsidRDefault="005821FA" w:rsidP="008147FF">
      <w:pPr>
        <w:spacing w:line="360" w:lineRule="auto"/>
        <w:jc w:val="both"/>
        <w:rPr>
          <w:sz w:val="28"/>
          <w:szCs w:val="28"/>
        </w:rPr>
      </w:pPr>
    </w:p>
    <w:p w:rsidR="008147FF" w:rsidRDefault="008147FF" w:rsidP="00814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Заявляет о своем участии в публичном конкурсе по распределению и установлению муниципальным образовательным организациям городского округа Тольятти, осуществляющим образовательную деятельность по образовательным программам высшего образования, контрольных цифр приема для обучения граждан за счет бюджетных ассигнований бюджета городского округа Тольятти в </w:t>
      </w:r>
      <w:r w:rsidR="00086B7A">
        <w:rPr>
          <w:sz w:val="28"/>
          <w:szCs w:val="28"/>
        </w:rPr>
        <w:t>2021</w:t>
      </w:r>
      <w:r w:rsidR="005821FA">
        <w:rPr>
          <w:sz w:val="28"/>
          <w:szCs w:val="28"/>
        </w:rPr>
        <w:t>-202</w:t>
      </w:r>
      <w:r w:rsidR="00086B7A">
        <w:rPr>
          <w:sz w:val="28"/>
          <w:szCs w:val="28"/>
        </w:rPr>
        <w:t>2</w:t>
      </w:r>
      <w:r w:rsidR="005821FA">
        <w:rPr>
          <w:sz w:val="28"/>
          <w:szCs w:val="28"/>
        </w:rPr>
        <w:t xml:space="preserve"> учебном году.</w:t>
      </w:r>
    </w:p>
    <w:p w:rsidR="005821FA" w:rsidRDefault="005821FA" w:rsidP="00814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условиями публичного конкурса образовательная организация ознакомлена.</w:t>
      </w:r>
    </w:p>
    <w:p w:rsidR="005821FA" w:rsidRDefault="005821FA" w:rsidP="00814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Образовательная организация предлагает установить ей следующие контрольные цифры приема:</w:t>
      </w:r>
    </w:p>
    <w:p w:rsidR="003F56A9" w:rsidRDefault="003F56A9" w:rsidP="008147FF">
      <w:pPr>
        <w:spacing w:line="360" w:lineRule="auto"/>
        <w:jc w:val="both"/>
        <w:rPr>
          <w:sz w:val="28"/>
          <w:szCs w:val="28"/>
        </w:rPr>
      </w:pPr>
    </w:p>
    <w:p w:rsidR="003F56A9" w:rsidRDefault="003F56A9" w:rsidP="008147FF">
      <w:pPr>
        <w:spacing w:line="360" w:lineRule="auto"/>
        <w:jc w:val="both"/>
        <w:rPr>
          <w:sz w:val="28"/>
          <w:szCs w:val="28"/>
        </w:rPr>
      </w:pPr>
    </w:p>
    <w:p w:rsidR="003F56A9" w:rsidRDefault="003F56A9" w:rsidP="008147FF">
      <w:pPr>
        <w:spacing w:line="360" w:lineRule="auto"/>
        <w:jc w:val="both"/>
        <w:rPr>
          <w:sz w:val="28"/>
          <w:szCs w:val="28"/>
        </w:rPr>
      </w:pPr>
    </w:p>
    <w:p w:rsidR="005821FA" w:rsidRDefault="005821FA" w:rsidP="00814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850"/>
        <w:gridCol w:w="1418"/>
        <w:gridCol w:w="1276"/>
        <w:gridCol w:w="1269"/>
      </w:tblGrid>
      <w:tr w:rsidR="00277F16" w:rsidRPr="00676AA8" w:rsidTr="00676AA8">
        <w:tc>
          <w:tcPr>
            <w:tcW w:w="1986" w:type="dxa"/>
            <w:vMerge w:val="restart"/>
            <w:shd w:val="clear" w:color="auto" w:fill="auto"/>
          </w:tcPr>
          <w:p w:rsidR="00277F16" w:rsidRPr="00277F16" w:rsidRDefault="00277F16" w:rsidP="00676AA8">
            <w:pPr>
              <w:jc w:val="center"/>
            </w:pPr>
            <w:r w:rsidRPr="00277F16">
              <w:t>Код специальности, направления подготовки и (или) укрупненной группы специальностей и направлений подготовки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77F16" w:rsidRPr="00676AA8" w:rsidRDefault="00277F16" w:rsidP="00676AA8">
            <w:pPr>
              <w:jc w:val="center"/>
              <w:rPr>
                <w:sz w:val="22"/>
                <w:szCs w:val="22"/>
              </w:rPr>
            </w:pPr>
            <w:r w:rsidRPr="00676AA8">
              <w:rPr>
                <w:sz w:val="22"/>
                <w:szCs w:val="22"/>
              </w:rPr>
              <w:t>Наименование специальности, направления подготовки и (или) укрупненной группы специальностей и направлений подготовки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7F16" w:rsidRPr="005821FA" w:rsidRDefault="00277F16" w:rsidP="00676AA8">
            <w:pPr>
              <w:jc w:val="center"/>
            </w:pPr>
            <w:r w:rsidRPr="005821FA">
              <w:t>Присваиваемые квалификации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77F16" w:rsidRPr="005821FA" w:rsidRDefault="00277F16" w:rsidP="00676AA8">
            <w:pPr>
              <w:jc w:val="center"/>
            </w:pPr>
            <w:r w:rsidRPr="005821FA">
              <w:t>Всего чел.</w:t>
            </w:r>
          </w:p>
        </w:tc>
        <w:tc>
          <w:tcPr>
            <w:tcW w:w="3963" w:type="dxa"/>
            <w:gridSpan w:val="3"/>
            <w:shd w:val="clear" w:color="auto" w:fill="auto"/>
          </w:tcPr>
          <w:p w:rsidR="00277F16" w:rsidRDefault="00277F16" w:rsidP="00676AA8">
            <w:pPr>
              <w:jc w:val="center"/>
            </w:pPr>
            <w:r w:rsidRPr="005821FA">
              <w:t xml:space="preserve">В том числе по формам обучения </w:t>
            </w:r>
          </w:p>
          <w:p w:rsidR="00277F16" w:rsidRPr="005821FA" w:rsidRDefault="00277F16" w:rsidP="00676AA8">
            <w:pPr>
              <w:jc w:val="center"/>
            </w:pPr>
            <w:r w:rsidRPr="005821FA">
              <w:t>(в % отношении)</w:t>
            </w:r>
          </w:p>
        </w:tc>
      </w:tr>
      <w:tr w:rsidR="00277F16" w:rsidRPr="00676AA8" w:rsidTr="00676AA8">
        <w:tc>
          <w:tcPr>
            <w:tcW w:w="1986" w:type="dxa"/>
            <w:vMerge/>
            <w:shd w:val="clear" w:color="auto" w:fill="auto"/>
          </w:tcPr>
          <w:p w:rsidR="00277F16" w:rsidRPr="00676AA8" w:rsidRDefault="00277F16" w:rsidP="00676A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77F16" w:rsidRPr="00676AA8" w:rsidRDefault="00277F16" w:rsidP="00676A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7F16" w:rsidRPr="00676AA8" w:rsidRDefault="00277F16" w:rsidP="00676A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77F16" w:rsidRPr="00676AA8" w:rsidRDefault="00277F16" w:rsidP="00676A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77F16" w:rsidRPr="005821FA" w:rsidRDefault="00277F16" w:rsidP="00676AA8">
            <w:pPr>
              <w:jc w:val="center"/>
            </w:pPr>
            <w:r w:rsidRPr="005821FA">
              <w:t>Очная форма обучения</w:t>
            </w:r>
          </w:p>
        </w:tc>
        <w:tc>
          <w:tcPr>
            <w:tcW w:w="1276" w:type="dxa"/>
            <w:shd w:val="clear" w:color="auto" w:fill="auto"/>
          </w:tcPr>
          <w:p w:rsidR="00277F16" w:rsidRPr="005821FA" w:rsidRDefault="00277F16" w:rsidP="00676AA8">
            <w:pPr>
              <w:jc w:val="center"/>
            </w:pPr>
            <w:r w:rsidRPr="005821FA">
              <w:t>Очно-заочная форма обучения</w:t>
            </w:r>
          </w:p>
        </w:tc>
        <w:tc>
          <w:tcPr>
            <w:tcW w:w="1269" w:type="dxa"/>
            <w:shd w:val="clear" w:color="auto" w:fill="auto"/>
          </w:tcPr>
          <w:p w:rsidR="00277F16" w:rsidRPr="005821FA" w:rsidRDefault="00277F16" w:rsidP="00676AA8">
            <w:pPr>
              <w:jc w:val="center"/>
            </w:pPr>
            <w:r w:rsidRPr="005821FA">
              <w:t>Заочная форма обучения</w:t>
            </w:r>
          </w:p>
        </w:tc>
      </w:tr>
      <w:tr w:rsidR="00277F16" w:rsidRPr="00676AA8" w:rsidTr="00676AA8">
        <w:trPr>
          <w:trHeight w:val="295"/>
        </w:trPr>
        <w:tc>
          <w:tcPr>
            <w:tcW w:w="1986" w:type="dxa"/>
            <w:shd w:val="clear" w:color="auto" w:fill="auto"/>
          </w:tcPr>
          <w:p w:rsidR="005821FA" w:rsidRPr="00277F16" w:rsidRDefault="00277F16" w:rsidP="00676AA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5821FA" w:rsidRPr="00277F16" w:rsidRDefault="00277F16" w:rsidP="00676AA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5821FA" w:rsidRPr="00277F16" w:rsidRDefault="00277F16" w:rsidP="00676AA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5821FA" w:rsidRPr="00277F16" w:rsidRDefault="00277F16" w:rsidP="00676AA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5821FA" w:rsidRPr="00277F16" w:rsidRDefault="00277F16" w:rsidP="00676AA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5821FA" w:rsidRPr="00277F16" w:rsidRDefault="00277F16" w:rsidP="00676AA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69" w:type="dxa"/>
            <w:shd w:val="clear" w:color="auto" w:fill="auto"/>
          </w:tcPr>
          <w:p w:rsidR="005821FA" w:rsidRPr="00277F16" w:rsidRDefault="00277F16" w:rsidP="00676AA8">
            <w:pPr>
              <w:spacing w:line="360" w:lineRule="auto"/>
              <w:jc w:val="center"/>
            </w:pPr>
            <w:r>
              <w:t>7</w:t>
            </w:r>
          </w:p>
        </w:tc>
      </w:tr>
      <w:tr w:rsidR="00277F16" w:rsidRPr="00676AA8" w:rsidTr="00676AA8">
        <w:tc>
          <w:tcPr>
            <w:tcW w:w="1986" w:type="dxa"/>
            <w:shd w:val="clear" w:color="auto" w:fill="auto"/>
          </w:tcPr>
          <w:p w:rsidR="005821FA" w:rsidRPr="00277F16" w:rsidRDefault="005821FA" w:rsidP="00676AA8">
            <w:pPr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5821FA" w:rsidRPr="00277F16" w:rsidRDefault="005821FA" w:rsidP="00676AA8">
            <w:pPr>
              <w:spacing w:line="360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821FA" w:rsidRPr="00277F16" w:rsidRDefault="005821FA" w:rsidP="00676AA8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5821FA" w:rsidRPr="00277F16" w:rsidRDefault="005821FA" w:rsidP="00676AA8">
            <w:pPr>
              <w:spacing w:line="360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821FA" w:rsidRPr="00277F16" w:rsidRDefault="005821FA" w:rsidP="00676AA8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5821FA" w:rsidRPr="00277F16" w:rsidRDefault="005821FA" w:rsidP="00676AA8">
            <w:pPr>
              <w:spacing w:line="360" w:lineRule="auto"/>
              <w:jc w:val="both"/>
            </w:pPr>
          </w:p>
        </w:tc>
        <w:tc>
          <w:tcPr>
            <w:tcW w:w="1269" w:type="dxa"/>
            <w:shd w:val="clear" w:color="auto" w:fill="auto"/>
          </w:tcPr>
          <w:p w:rsidR="005821FA" w:rsidRPr="00277F16" w:rsidRDefault="005821FA" w:rsidP="00676AA8">
            <w:pPr>
              <w:spacing w:line="360" w:lineRule="auto"/>
              <w:jc w:val="both"/>
            </w:pPr>
          </w:p>
        </w:tc>
      </w:tr>
    </w:tbl>
    <w:p w:rsidR="005821FA" w:rsidRPr="008147FF" w:rsidRDefault="005821FA" w:rsidP="008147FF">
      <w:pPr>
        <w:spacing w:line="360" w:lineRule="auto"/>
        <w:jc w:val="both"/>
        <w:rPr>
          <w:sz w:val="28"/>
          <w:szCs w:val="28"/>
        </w:rPr>
      </w:pPr>
    </w:p>
    <w:p w:rsidR="008147FF" w:rsidRDefault="00277F16" w:rsidP="00277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образовательных программ и специализация:</w:t>
      </w:r>
    </w:p>
    <w:p w:rsidR="00277F16" w:rsidRDefault="00277F16" w:rsidP="00277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3F56A9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</w:t>
      </w:r>
    </w:p>
    <w:p w:rsidR="00277F16" w:rsidRDefault="00277F16" w:rsidP="00086B7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3F56A9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</w:t>
      </w:r>
    </w:p>
    <w:p w:rsidR="00277F16" w:rsidRPr="00086B7A" w:rsidRDefault="00277F16" w:rsidP="00086B7A">
      <w:pPr>
        <w:jc w:val="center"/>
        <w:rPr>
          <w:szCs w:val="20"/>
          <w:vertAlign w:val="superscript"/>
        </w:rPr>
      </w:pPr>
      <w:r w:rsidRPr="00086B7A">
        <w:rPr>
          <w:szCs w:val="20"/>
          <w:vertAlign w:val="superscript"/>
        </w:rPr>
        <w:t>(наименование программ и специализация указывается в рамках заявленной специальности, направления подготовки или укрупненной группы специальностей и направлений подготовки)</w:t>
      </w:r>
    </w:p>
    <w:p w:rsidR="00277F16" w:rsidRDefault="00277F16" w:rsidP="00277F16">
      <w:pPr>
        <w:spacing w:line="360" w:lineRule="auto"/>
        <w:jc w:val="center"/>
        <w:rPr>
          <w:sz w:val="20"/>
          <w:szCs w:val="20"/>
        </w:rPr>
      </w:pPr>
    </w:p>
    <w:p w:rsidR="00277F16" w:rsidRDefault="00277F16" w:rsidP="00277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277F16" w:rsidRDefault="00277F16" w:rsidP="00277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_________________________</w:t>
      </w:r>
      <w:r w:rsidR="003F56A9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277F16" w:rsidRDefault="00277F16" w:rsidP="00277F16">
      <w:pPr>
        <w:spacing w:line="360" w:lineRule="auto"/>
        <w:jc w:val="both"/>
        <w:rPr>
          <w:sz w:val="28"/>
          <w:szCs w:val="28"/>
        </w:rPr>
      </w:pPr>
    </w:p>
    <w:p w:rsidR="00277F16" w:rsidRDefault="00277F16" w:rsidP="00086B7A">
      <w:pPr>
        <w:jc w:val="both"/>
        <w:rPr>
          <w:sz w:val="28"/>
          <w:szCs w:val="28"/>
        </w:rPr>
      </w:pPr>
    </w:p>
    <w:p w:rsidR="00277F16" w:rsidRDefault="00277F16" w:rsidP="00086B7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F56A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3F56A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7A14B3">
        <w:rPr>
          <w:sz w:val="28"/>
          <w:szCs w:val="28"/>
        </w:rPr>
        <w:t>__      __________________        _____</w:t>
      </w:r>
      <w:r w:rsidR="003F56A9">
        <w:rPr>
          <w:sz w:val="28"/>
          <w:szCs w:val="28"/>
        </w:rPr>
        <w:t>__</w:t>
      </w:r>
      <w:r w:rsidR="007A14B3">
        <w:rPr>
          <w:sz w:val="28"/>
          <w:szCs w:val="28"/>
        </w:rPr>
        <w:t>___________</w:t>
      </w:r>
    </w:p>
    <w:p w:rsidR="00277F16" w:rsidRPr="00086B7A" w:rsidRDefault="003F56A9" w:rsidP="00086B7A">
      <w:pPr>
        <w:rPr>
          <w:sz w:val="28"/>
          <w:szCs w:val="20"/>
          <w:vertAlign w:val="superscript"/>
        </w:rPr>
      </w:pPr>
      <w:r>
        <w:rPr>
          <w:sz w:val="28"/>
          <w:szCs w:val="20"/>
          <w:vertAlign w:val="superscript"/>
        </w:rPr>
        <w:t xml:space="preserve">      </w:t>
      </w:r>
      <w:r w:rsidR="00277F16" w:rsidRPr="00086B7A">
        <w:rPr>
          <w:sz w:val="28"/>
          <w:szCs w:val="20"/>
          <w:vertAlign w:val="superscript"/>
        </w:rPr>
        <w:t>(должность уполномоченного лица)</w:t>
      </w:r>
      <w:r w:rsidR="007A14B3" w:rsidRPr="00086B7A">
        <w:rPr>
          <w:sz w:val="28"/>
          <w:szCs w:val="20"/>
          <w:vertAlign w:val="superscript"/>
        </w:rPr>
        <w:t xml:space="preserve">                    </w:t>
      </w:r>
      <w:r w:rsidR="00086B7A">
        <w:rPr>
          <w:sz w:val="28"/>
          <w:szCs w:val="20"/>
          <w:vertAlign w:val="superscript"/>
        </w:rPr>
        <w:t xml:space="preserve">        </w:t>
      </w:r>
      <w:r w:rsidR="007A14B3" w:rsidRPr="00086B7A">
        <w:rPr>
          <w:sz w:val="28"/>
          <w:szCs w:val="20"/>
          <w:vertAlign w:val="superscript"/>
        </w:rPr>
        <w:t xml:space="preserve">       (подпись)                                               </w:t>
      </w:r>
      <w:r w:rsidR="00086B7A">
        <w:rPr>
          <w:sz w:val="28"/>
          <w:szCs w:val="20"/>
          <w:vertAlign w:val="superscript"/>
        </w:rPr>
        <w:t xml:space="preserve">         </w:t>
      </w:r>
      <w:r w:rsidR="007A14B3" w:rsidRPr="00086B7A">
        <w:rPr>
          <w:sz w:val="28"/>
          <w:szCs w:val="20"/>
          <w:vertAlign w:val="superscript"/>
        </w:rPr>
        <w:t xml:space="preserve">   (Ф.И.О.)</w:t>
      </w:r>
    </w:p>
    <w:p w:rsidR="007A14B3" w:rsidRDefault="007A14B3" w:rsidP="00277F16">
      <w:pPr>
        <w:spacing w:line="360" w:lineRule="auto"/>
        <w:rPr>
          <w:sz w:val="20"/>
          <w:szCs w:val="20"/>
        </w:rPr>
      </w:pPr>
    </w:p>
    <w:p w:rsidR="007A14B3" w:rsidRDefault="007A14B3" w:rsidP="007A14B3">
      <w:pPr>
        <w:jc w:val="both"/>
        <w:rPr>
          <w:sz w:val="20"/>
          <w:szCs w:val="20"/>
        </w:rPr>
      </w:pPr>
    </w:p>
    <w:p w:rsidR="007A14B3" w:rsidRPr="00277F16" w:rsidRDefault="007A14B3" w:rsidP="007A14B3">
      <w:pPr>
        <w:jc w:val="both"/>
        <w:rPr>
          <w:sz w:val="20"/>
          <w:szCs w:val="20"/>
        </w:rPr>
      </w:pPr>
      <w:r>
        <w:rPr>
          <w:sz w:val="20"/>
          <w:szCs w:val="20"/>
        </w:rPr>
        <w:t>Примечание: Если образовательная организация заявляет об участии в распределении и установлении ей контрольных цифр приема по нескольким специальностям и т.д., то Таблица с предложениями по контрольным цифрам приема и перечень основных образовательных программ и специализаций оформляется отдельно по каждой специальности, направлению подготовки, укрупненной группе специальностей и направлений подготовки.</w:t>
      </w:r>
    </w:p>
    <w:p w:rsidR="00CF1BD0" w:rsidRDefault="00086B7A" w:rsidP="00086B7A">
      <w:pPr>
        <w:spacing w:line="360" w:lineRule="auto"/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BD77D1">
        <w:rPr>
          <w:sz w:val="28"/>
          <w:szCs w:val="28"/>
        </w:rPr>
        <w:lastRenderedPageBreak/>
        <w:t>Приложение 3</w:t>
      </w:r>
    </w:p>
    <w:p w:rsidR="00BD77D1" w:rsidRDefault="00BD77D1" w:rsidP="00BD7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BD77D1" w:rsidRDefault="00BD77D1" w:rsidP="00BD7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исходных данных для определения показателей деятельности </w:t>
      </w:r>
    </w:p>
    <w:p w:rsidR="00BD77D1" w:rsidRDefault="00BD77D1" w:rsidP="00BD77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</w:p>
    <w:p w:rsidR="00AE633B" w:rsidRDefault="00AE633B" w:rsidP="00B04BC2">
      <w:pPr>
        <w:jc w:val="center"/>
        <w:rPr>
          <w:sz w:val="28"/>
          <w:szCs w:val="28"/>
        </w:rPr>
      </w:pPr>
    </w:p>
    <w:p w:rsidR="00B257C5" w:rsidRDefault="00B257C5" w:rsidP="00B04BC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257C5" w:rsidRPr="00086B7A" w:rsidRDefault="00B257C5" w:rsidP="00B04BC2">
      <w:pPr>
        <w:jc w:val="center"/>
        <w:rPr>
          <w:szCs w:val="20"/>
          <w:vertAlign w:val="superscript"/>
        </w:rPr>
      </w:pPr>
      <w:r w:rsidRPr="00086B7A">
        <w:rPr>
          <w:szCs w:val="20"/>
          <w:vertAlign w:val="superscript"/>
        </w:rPr>
        <w:t>(полное наименование образовательной организации)</w:t>
      </w:r>
    </w:p>
    <w:p w:rsidR="00B257C5" w:rsidRDefault="00B257C5" w:rsidP="00B04BC2">
      <w:pPr>
        <w:jc w:val="center"/>
        <w:rPr>
          <w:sz w:val="20"/>
          <w:szCs w:val="20"/>
        </w:rPr>
      </w:pPr>
    </w:p>
    <w:p w:rsidR="00B257C5" w:rsidRDefault="00E86388" w:rsidP="00B04BC2">
      <w:pPr>
        <w:jc w:val="center"/>
        <w:rPr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86388" w:rsidRDefault="00E86388" w:rsidP="00B04BC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6388" w:rsidRPr="00086B7A" w:rsidRDefault="00E86388" w:rsidP="00086B7A">
      <w:pPr>
        <w:jc w:val="center"/>
        <w:rPr>
          <w:szCs w:val="20"/>
          <w:vertAlign w:val="superscript"/>
        </w:rPr>
      </w:pPr>
      <w:r w:rsidRPr="00086B7A">
        <w:rPr>
          <w:szCs w:val="20"/>
          <w:vertAlign w:val="superscript"/>
        </w:rPr>
        <w:t>(код и наименование специальности, направления подготовки, укрупненной группы специальностей и направлений подготовки)</w:t>
      </w:r>
    </w:p>
    <w:p w:rsidR="00E86388" w:rsidRDefault="00E86388" w:rsidP="00B04BC2">
      <w:pPr>
        <w:jc w:val="center"/>
        <w:rPr>
          <w:sz w:val="20"/>
          <w:szCs w:val="20"/>
        </w:rPr>
      </w:pPr>
    </w:p>
    <w:p w:rsidR="006F2717" w:rsidRDefault="006F2717" w:rsidP="00B04BC2">
      <w:pPr>
        <w:jc w:val="center"/>
        <w:rPr>
          <w:sz w:val="20"/>
          <w:szCs w:val="20"/>
        </w:rPr>
      </w:pPr>
    </w:p>
    <w:p w:rsidR="00E86388" w:rsidRDefault="006F2717" w:rsidP="00B04BC2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По образовательной организации в целом</w:t>
      </w:r>
    </w:p>
    <w:p w:rsidR="006F2717" w:rsidRDefault="006F2717" w:rsidP="00B04B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268"/>
        <w:gridCol w:w="1242"/>
        <w:gridCol w:w="2418"/>
      </w:tblGrid>
      <w:tr w:rsidR="006F2717" w:rsidRPr="00494AFE" w:rsidTr="00494AFE">
        <w:tc>
          <w:tcPr>
            <w:tcW w:w="4786" w:type="dxa"/>
            <w:shd w:val="clear" w:color="auto" w:fill="auto"/>
          </w:tcPr>
          <w:p w:rsidR="006F2717" w:rsidRPr="006F2717" w:rsidRDefault="006F2717" w:rsidP="00494AFE">
            <w:pPr>
              <w:jc w:val="center"/>
            </w:pPr>
            <w:r>
              <w:t>Наименование показателя и его исходных данных</w:t>
            </w:r>
          </w:p>
        </w:tc>
        <w:tc>
          <w:tcPr>
            <w:tcW w:w="1276" w:type="dxa"/>
            <w:shd w:val="clear" w:color="auto" w:fill="auto"/>
          </w:tcPr>
          <w:p w:rsidR="006F2717" w:rsidRPr="006F2717" w:rsidRDefault="006F2717" w:rsidP="00494AFE">
            <w:pPr>
              <w:jc w:val="center"/>
            </w:pPr>
            <w:r w:rsidRPr="006F2717">
              <w:t xml:space="preserve">Единица </w:t>
            </w:r>
            <w:proofErr w:type="spellStart"/>
            <w:proofErr w:type="gramStart"/>
            <w:r w:rsidRPr="006F2717">
              <w:t>измере-ния</w:t>
            </w:r>
            <w:proofErr w:type="spellEnd"/>
            <w:proofErr w:type="gramEnd"/>
          </w:p>
        </w:tc>
        <w:tc>
          <w:tcPr>
            <w:tcW w:w="1243" w:type="dxa"/>
            <w:shd w:val="clear" w:color="auto" w:fill="auto"/>
          </w:tcPr>
          <w:p w:rsidR="006F2717" w:rsidRPr="006F2717" w:rsidRDefault="006F2717" w:rsidP="00494AFE">
            <w:pPr>
              <w:jc w:val="center"/>
            </w:pPr>
            <w:r w:rsidRPr="006F2717">
              <w:t>Значение исходных данных</w:t>
            </w:r>
          </w:p>
        </w:tc>
        <w:tc>
          <w:tcPr>
            <w:tcW w:w="2436" w:type="dxa"/>
            <w:shd w:val="clear" w:color="auto" w:fill="auto"/>
          </w:tcPr>
          <w:p w:rsidR="006F2717" w:rsidRPr="006F2717" w:rsidRDefault="006F2717" w:rsidP="00494AFE">
            <w:pPr>
              <w:jc w:val="center"/>
            </w:pPr>
            <w:r w:rsidRPr="006F2717">
              <w:t>Документ (иной источник), подтверждающий значение исходных данных</w:t>
            </w:r>
          </w:p>
        </w:tc>
      </w:tr>
      <w:tr w:rsidR="00395F19" w:rsidRPr="00494AFE" w:rsidTr="00494AFE">
        <w:tc>
          <w:tcPr>
            <w:tcW w:w="4786" w:type="dxa"/>
            <w:shd w:val="clear" w:color="auto" w:fill="auto"/>
          </w:tcPr>
          <w:p w:rsidR="00395F19" w:rsidRPr="00494AFE" w:rsidRDefault="00395F19" w:rsidP="00494AFE">
            <w:pPr>
              <w:jc w:val="center"/>
              <w:rPr>
                <w:sz w:val="28"/>
                <w:szCs w:val="28"/>
              </w:rPr>
            </w:pPr>
            <w:r w:rsidRPr="00494AF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5F19" w:rsidRPr="00494AFE" w:rsidRDefault="00395F19" w:rsidP="00494AFE">
            <w:pPr>
              <w:jc w:val="center"/>
              <w:rPr>
                <w:sz w:val="28"/>
                <w:szCs w:val="28"/>
              </w:rPr>
            </w:pPr>
            <w:r w:rsidRPr="00494AFE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395F19" w:rsidRPr="00494AFE" w:rsidRDefault="00395F19" w:rsidP="00494AFE">
            <w:pPr>
              <w:jc w:val="center"/>
              <w:rPr>
                <w:sz w:val="28"/>
                <w:szCs w:val="28"/>
              </w:rPr>
            </w:pPr>
            <w:r w:rsidRPr="00494AFE">
              <w:rPr>
                <w:sz w:val="28"/>
                <w:szCs w:val="28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:rsidR="00395F19" w:rsidRPr="00494AFE" w:rsidRDefault="00395F19" w:rsidP="00494AFE">
            <w:pPr>
              <w:jc w:val="center"/>
              <w:rPr>
                <w:sz w:val="28"/>
                <w:szCs w:val="28"/>
              </w:rPr>
            </w:pPr>
            <w:r w:rsidRPr="00494AFE">
              <w:rPr>
                <w:sz w:val="28"/>
                <w:szCs w:val="28"/>
              </w:rPr>
              <w:t>4</w:t>
            </w:r>
          </w:p>
        </w:tc>
      </w:tr>
      <w:tr w:rsidR="006F2717" w:rsidRPr="00494AFE" w:rsidTr="00494AFE">
        <w:tc>
          <w:tcPr>
            <w:tcW w:w="4786" w:type="dxa"/>
            <w:shd w:val="clear" w:color="auto" w:fill="auto"/>
          </w:tcPr>
          <w:p w:rsidR="006F2717" w:rsidRPr="00395F19" w:rsidRDefault="00395F19" w:rsidP="00494AFE">
            <w:pPr>
              <w:jc w:val="both"/>
            </w:pPr>
            <w:r w:rsidRPr="00395F19">
              <w:t>а)</w:t>
            </w:r>
            <w:r w:rsidR="002603AD">
              <w:t xml:space="preserve"> </w:t>
            </w:r>
            <w:r w:rsidRPr="00395F19">
              <w:t>Материально-техническое обеспечение образовательного процесса:</w:t>
            </w:r>
          </w:p>
          <w:p w:rsidR="00395F19" w:rsidRPr="00395F19" w:rsidRDefault="00395F19" w:rsidP="00494AFE">
            <w:pPr>
              <w:jc w:val="both"/>
            </w:pPr>
            <w:r w:rsidRPr="00395F19">
              <w:t>-</w:t>
            </w:r>
            <w:r>
              <w:t xml:space="preserve"> </w:t>
            </w:r>
            <w:r w:rsidRPr="00395F19">
              <w:t>общая площадь учебно-лабораторных помещений (за исключением площади помещений, сданных в аренду, и находящихся на капитальном ремонте);</w:t>
            </w:r>
          </w:p>
          <w:p w:rsidR="00395F19" w:rsidRPr="00494AFE" w:rsidRDefault="00395F19" w:rsidP="00494AFE">
            <w:pPr>
              <w:jc w:val="both"/>
              <w:rPr>
                <w:sz w:val="28"/>
                <w:szCs w:val="28"/>
              </w:rPr>
            </w:pPr>
            <w:r w:rsidRPr="00395F19">
              <w:t>-</w:t>
            </w:r>
            <w:r>
              <w:t xml:space="preserve"> </w:t>
            </w:r>
            <w:r w:rsidRPr="00395F19">
              <w:t xml:space="preserve">количество </w:t>
            </w:r>
            <w:proofErr w:type="gramStart"/>
            <w:r w:rsidRPr="00395F19">
              <w:t>обучающихся</w:t>
            </w:r>
            <w:proofErr w:type="gramEnd"/>
            <w:r w:rsidRPr="00395F19">
              <w:t xml:space="preserve"> в текущем учебном году.</w:t>
            </w:r>
          </w:p>
        </w:tc>
        <w:tc>
          <w:tcPr>
            <w:tcW w:w="1276" w:type="dxa"/>
            <w:shd w:val="clear" w:color="auto" w:fill="auto"/>
          </w:tcPr>
          <w:p w:rsidR="006F2717" w:rsidRPr="00086B7A" w:rsidRDefault="006F2717" w:rsidP="00494AFE">
            <w:pPr>
              <w:jc w:val="center"/>
              <w:rPr>
                <w:szCs w:val="28"/>
              </w:rPr>
            </w:pPr>
          </w:p>
          <w:p w:rsidR="00395F19" w:rsidRPr="00086B7A" w:rsidRDefault="00395F19" w:rsidP="00494AFE">
            <w:pPr>
              <w:jc w:val="center"/>
              <w:rPr>
                <w:szCs w:val="28"/>
              </w:rPr>
            </w:pPr>
          </w:p>
          <w:p w:rsidR="00395F19" w:rsidRDefault="00395F19" w:rsidP="00494AFE">
            <w:pPr>
              <w:jc w:val="center"/>
            </w:pPr>
            <w:proofErr w:type="spellStart"/>
            <w:r w:rsidRPr="00395F19">
              <w:t>кв</w:t>
            </w:r>
            <w:proofErr w:type="gramStart"/>
            <w:r w:rsidRPr="00395F19">
              <w:t>.м</w:t>
            </w:r>
            <w:proofErr w:type="spellEnd"/>
            <w:proofErr w:type="gramEnd"/>
          </w:p>
          <w:p w:rsidR="00395F19" w:rsidRDefault="00395F19" w:rsidP="00494AFE">
            <w:pPr>
              <w:jc w:val="center"/>
            </w:pPr>
          </w:p>
          <w:p w:rsidR="00395F19" w:rsidRDefault="00395F19" w:rsidP="00494AFE">
            <w:pPr>
              <w:jc w:val="center"/>
            </w:pPr>
          </w:p>
          <w:p w:rsidR="00395F19" w:rsidRDefault="00395F19" w:rsidP="00494AFE">
            <w:pPr>
              <w:jc w:val="center"/>
            </w:pPr>
          </w:p>
          <w:p w:rsidR="00395F19" w:rsidRPr="00395F19" w:rsidRDefault="00395F19" w:rsidP="00494AFE">
            <w:pPr>
              <w:jc w:val="center"/>
            </w:pPr>
            <w:r>
              <w:t>чел.</w:t>
            </w:r>
          </w:p>
        </w:tc>
        <w:tc>
          <w:tcPr>
            <w:tcW w:w="1243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6F2717" w:rsidRPr="00494AFE" w:rsidTr="00494AFE">
        <w:tc>
          <w:tcPr>
            <w:tcW w:w="4786" w:type="dxa"/>
            <w:shd w:val="clear" w:color="auto" w:fill="auto"/>
          </w:tcPr>
          <w:p w:rsidR="006F2717" w:rsidRDefault="002603AD" w:rsidP="00494AFE">
            <w:pPr>
              <w:jc w:val="both"/>
            </w:pPr>
            <w:r w:rsidRPr="002603AD">
              <w:t>б)</w:t>
            </w:r>
            <w:r>
              <w:t xml:space="preserve"> Информационное обеспечение образовательного процесса:</w:t>
            </w:r>
          </w:p>
          <w:p w:rsidR="002603AD" w:rsidRDefault="002603AD" w:rsidP="00494AFE">
            <w:pPr>
              <w:jc w:val="both"/>
            </w:pPr>
            <w:r>
              <w:t xml:space="preserve">-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текущем учебном году:</w:t>
            </w:r>
          </w:p>
          <w:p w:rsidR="002603AD" w:rsidRDefault="002603AD" w:rsidP="00494AFE">
            <w:pPr>
              <w:jc w:val="both"/>
            </w:pPr>
            <w:r>
              <w:t>- количество экземпляров печатных и электронных изданий библиотечного фонда основной учебной литературы по дисциплинам базовой части, изданных за последние пять лет;</w:t>
            </w:r>
          </w:p>
          <w:p w:rsidR="002603AD" w:rsidRDefault="002603AD" w:rsidP="00494AFE">
            <w:pPr>
              <w:jc w:val="both"/>
            </w:pPr>
            <w:r>
              <w:t>- количество экземпляров печатных и электронных изданий дополнительной литературы библиотечного фонда;</w:t>
            </w:r>
          </w:p>
          <w:p w:rsidR="00086B7A" w:rsidRPr="002603AD" w:rsidRDefault="002603AD" w:rsidP="0017196D">
            <w:pPr>
              <w:jc w:val="both"/>
            </w:pPr>
            <w:r>
              <w:t>- количество компьютеров для обеспечения доступа к содержимому электронно-библиотечной системы из любой точки, в которой имеется доступ к сети Интернет;</w:t>
            </w:r>
          </w:p>
        </w:tc>
        <w:tc>
          <w:tcPr>
            <w:tcW w:w="1276" w:type="dxa"/>
            <w:shd w:val="clear" w:color="auto" w:fill="auto"/>
          </w:tcPr>
          <w:p w:rsidR="006F2717" w:rsidRPr="00086B7A" w:rsidRDefault="006F2717" w:rsidP="00494AFE">
            <w:pPr>
              <w:jc w:val="center"/>
              <w:rPr>
                <w:szCs w:val="28"/>
              </w:rPr>
            </w:pPr>
          </w:p>
          <w:p w:rsidR="002603AD" w:rsidRPr="00086B7A" w:rsidRDefault="002603AD" w:rsidP="00494AFE">
            <w:pPr>
              <w:jc w:val="center"/>
              <w:rPr>
                <w:szCs w:val="28"/>
              </w:rPr>
            </w:pPr>
          </w:p>
          <w:p w:rsidR="002603AD" w:rsidRDefault="002603AD" w:rsidP="00494AFE">
            <w:pPr>
              <w:jc w:val="center"/>
            </w:pPr>
            <w:r w:rsidRPr="002603AD">
              <w:t>чел.</w:t>
            </w:r>
          </w:p>
          <w:p w:rsidR="002603AD" w:rsidRDefault="002603AD" w:rsidP="00494AFE">
            <w:pPr>
              <w:jc w:val="center"/>
            </w:pPr>
          </w:p>
          <w:p w:rsidR="002603AD" w:rsidRDefault="002603AD" w:rsidP="00494AFE">
            <w:pPr>
              <w:jc w:val="center"/>
            </w:pPr>
            <w:r>
              <w:t>шт.</w:t>
            </w:r>
          </w:p>
          <w:p w:rsidR="001D228E" w:rsidRDefault="001D228E" w:rsidP="00494AFE">
            <w:pPr>
              <w:jc w:val="center"/>
            </w:pPr>
          </w:p>
          <w:p w:rsidR="001D228E" w:rsidRDefault="001D228E" w:rsidP="00494AFE">
            <w:pPr>
              <w:jc w:val="center"/>
            </w:pPr>
          </w:p>
          <w:p w:rsidR="001D228E" w:rsidRDefault="001D228E" w:rsidP="00494AFE">
            <w:pPr>
              <w:jc w:val="center"/>
            </w:pPr>
          </w:p>
          <w:p w:rsidR="001D228E" w:rsidRDefault="001D228E" w:rsidP="00494AFE">
            <w:pPr>
              <w:jc w:val="center"/>
            </w:pPr>
          </w:p>
          <w:p w:rsidR="001D228E" w:rsidRDefault="001D228E" w:rsidP="00494AFE">
            <w:pPr>
              <w:jc w:val="center"/>
            </w:pPr>
            <w:r>
              <w:t>шт.</w:t>
            </w:r>
          </w:p>
          <w:p w:rsidR="001D228E" w:rsidRDefault="001D228E" w:rsidP="00494AFE">
            <w:pPr>
              <w:jc w:val="center"/>
            </w:pPr>
          </w:p>
          <w:p w:rsidR="001D228E" w:rsidRDefault="001D228E" w:rsidP="00494AFE">
            <w:pPr>
              <w:jc w:val="center"/>
            </w:pPr>
          </w:p>
          <w:p w:rsidR="001D228E" w:rsidRPr="002603AD" w:rsidRDefault="001D228E" w:rsidP="00494AFE">
            <w:pPr>
              <w:jc w:val="center"/>
            </w:pPr>
            <w:r>
              <w:t>шт.</w:t>
            </w:r>
          </w:p>
        </w:tc>
        <w:tc>
          <w:tcPr>
            <w:tcW w:w="1243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6F2717" w:rsidRPr="00494AFE" w:rsidTr="00494AFE">
        <w:tc>
          <w:tcPr>
            <w:tcW w:w="4786" w:type="dxa"/>
            <w:shd w:val="clear" w:color="auto" w:fill="auto"/>
          </w:tcPr>
          <w:p w:rsidR="006F2717" w:rsidRDefault="001D228E" w:rsidP="00494AFE">
            <w:pPr>
              <w:jc w:val="both"/>
            </w:pPr>
            <w:r>
              <w:t>в</w:t>
            </w:r>
            <w:r w:rsidRPr="001D228E">
              <w:t>)</w:t>
            </w:r>
            <w:r>
              <w:t xml:space="preserve"> Объем затрат на научные исследования и разработки:</w:t>
            </w:r>
          </w:p>
          <w:p w:rsidR="001D228E" w:rsidRDefault="001D228E" w:rsidP="00494AFE">
            <w:pPr>
              <w:jc w:val="both"/>
            </w:pPr>
            <w:r>
              <w:lastRenderedPageBreak/>
              <w:t>- объем затрат на научные исследования и разработки в предшествующем финансовом году;</w:t>
            </w:r>
          </w:p>
          <w:p w:rsidR="001D228E" w:rsidRDefault="001D228E" w:rsidP="00494AFE">
            <w:pPr>
              <w:jc w:val="both"/>
            </w:pPr>
            <w:r>
              <w:t>- количество штатных сотрудников из числа научно-педагогических и научных работников на конец прошлого учебного года;</w:t>
            </w:r>
          </w:p>
          <w:p w:rsidR="001D228E" w:rsidRPr="001D228E" w:rsidRDefault="001D228E" w:rsidP="00494AFE">
            <w:pPr>
              <w:jc w:val="both"/>
            </w:pPr>
            <w:r>
              <w:t>- количество штатных сотрудников из числа научно-педагогических и научных работников на начало текущего учебного года.</w:t>
            </w:r>
          </w:p>
        </w:tc>
        <w:tc>
          <w:tcPr>
            <w:tcW w:w="1276" w:type="dxa"/>
            <w:shd w:val="clear" w:color="auto" w:fill="auto"/>
          </w:tcPr>
          <w:p w:rsidR="006F2717" w:rsidRPr="00086B7A" w:rsidRDefault="006F2717" w:rsidP="00494AFE">
            <w:pPr>
              <w:jc w:val="center"/>
              <w:rPr>
                <w:szCs w:val="28"/>
              </w:rPr>
            </w:pPr>
          </w:p>
          <w:p w:rsidR="001D228E" w:rsidRPr="00086B7A" w:rsidRDefault="001D228E" w:rsidP="00494AFE">
            <w:pPr>
              <w:jc w:val="center"/>
              <w:rPr>
                <w:szCs w:val="28"/>
              </w:rPr>
            </w:pPr>
          </w:p>
          <w:p w:rsidR="001D228E" w:rsidRDefault="001D228E" w:rsidP="00494AFE">
            <w:pPr>
              <w:jc w:val="center"/>
            </w:pPr>
            <w:r>
              <w:lastRenderedPageBreak/>
              <w:t>руб.</w:t>
            </w:r>
          </w:p>
          <w:p w:rsidR="001D228E" w:rsidRDefault="001D228E" w:rsidP="00494AFE">
            <w:pPr>
              <w:jc w:val="center"/>
            </w:pPr>
          </w:p>
          <w:p w:rsidR="00086B7A" w:rsidRDefault="00086B7A" w:rsidP="00494AFE">
            <w:pPr>
              <w:jc w:val="center"/>
            </w:pPr>
          </w:p>
          <w:p w:rsidR="001D228E" w:rsidRDefault="001D228E" w:rsidP="00494AFE">
            <w:pPr>
              <w:jc w:val="center"/>
            </w:pPr>
            <w:r>
              <w:t>чел.</w:t>
            </w:r>
          </w:p>
          <w:p w:rsidR="001D228E" w:rsidRDefault="001D228E" w:rsidP="00494AFE">
            <w:pPr>
              <w:jc w:val="center"/>
            </w:pPr>
          </w:p>
          <w:p w:rsidR="001D228E" w:rsidRDefault="001D228E" w:rsidP="00494AFE">
            <w:pPr>
              <w:jc w:val="center"/>
            </w:pPr>
          </w:p>
          <w:p w:rsidR="001D228E" w:rsidRDefault="001D228E" w:rsidP="00494AFE">
            <w:pPr>
              <w:jc w:val="center"/>
            </w:pPr>
          </w:p>
          <w:p w:rsidR="001D228E" w:rsidRPr="001D228E" w:rsidRDefault="001D228E" w:rsidP="00494AFE">
            <w:pPr>
              <w:jc w:val="center"/>
            </w:pPr>
            <w:r>
              <w:t>чел.</w:t>
            </w:r>
          </w:p>
        </w:tc>
        <w:tc>
          <w:tcPr>
            <w:tcW w:w="1243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6F2717" w:rsidRPr="00494AFE" w:rsidTr="00494AFE">
        <w:tc>
          <w:tcPr>
            <w:tcW w:w="4786" w:type="dxa"/>
            <w:shd w:val="clear" w:color="auto" w:fill="auto"/>
          </w:tcPr>
          <w:p w:rsidR="006F2717" w:rsidRDefault="001D228E" w:rsidP="00494AFE">
            <w:pPr>
              <w:jc w:val="both"/>
            </w:pPr>
            <w:r>
              <w:lastRenderedPageBreak/>
              <w:t>г) Количество публикаций в научных изданиях:</w:t>
            </w:r>
          </w:p>
          <w:p w:rsidR="001D228E" w:rsidRDefault="001D228E" w:rsidP="00494AFE">
            <w:pPr>
              <w:jc w:val="both"/>
            </w:pPr>
            <w:r>
              <w:t>- количество публикаций работников образовательной организации за два предшествующих календарных года в научных изданиях, включенных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наук;</w:t>
            </w:r>
          </w:p>
          <w:p w:rsidR="001D228E" w:rsidRDefault="001D228E" w:rsidP="00494AFE">
            <w:pPr>
              <w:jc w:val="both"/>
            </w:pPr>
            <w:r>
              <w:t xml:space="preserve">- </w:t>
            </w:r>
            <w:r w:rsidR="00C01D1E">
              <w:t xml:space="preserve"> количество публикаций работников образовательной организации за два предшествующих календарных года в реферативно-библиографической базе научного цитирования «Сеть науки» (</w:t>
            </w:r>
            <w:r w:rsidR="00C01D1E" w:rsidRPr="00494AFE">
              <w:rPr>
                <w:lang w:val="en-US"/>
              </w:rPr>
              <w:t>Web</w:t>
            </w:r>
            <w:r w:rsidR="00C01D1E" w:rsidRPr="00C01D1E">
              <w:t xml:space="preserve"> </w:t>
            </w:r>
            <w:r w:rsidR="005E35AD" w:rsidRPr="00494AFE">
              <w:rPr>
                <w:lang w:val="en-US"/>
              </w:rPr>
              <w:t>o</w:t>
            </w:r>
            <w:r w:rsidR="00C01D1E" w:rsidRPr="00494AFE">
              <w:rPr>
                <w:lang w:val="en-US"/>
              </w:rPr>
              <w:t>f</w:t>
            </w:r>
            <w:r w:rsidR="00C01D1E" w:rsidRPr="00C01D1E">
              <w:t xml:space="preserve"> </w:t>
            </w:r>
            <w:r w:rsidR="00C01D1E" w:rsidRPr="00494AFE">
              <w:rPr>
                <w:lang w:val="en-US"/>
              </w:rPr>
              <w:t>Science</w:t>
            </w:r>
            <w:r w:rsidR="005E35AD">
              <w:t>);</w:t>
            </w:r>
          </w:p>
          <w:p w:rsidR="005E35AD" w:rsidRDefault="005E35AD" w:rsidP="00494AFE">
            <w:pPr>
              <w:jc w:val="both"/>
            </w:pPr>
            <w:r>
              <w:t>- количество штатных сотрудников из числа научно-педагогических и научных работников на начало учебного года в первом году публикаций;</w:t>
            </w:r>
          </w:p>
          <w:p w:rsidR="005E35AD" w:rsidRPr="005E35AD" w:rsidRDefault="005E35AD" w:rsidP="00494AFE">
            <w:pPr>
              <w:jc w:val="both"/>
            </w:pPr>
            <w:r>
              <w:t>- количество штатных сотрудников из числа научно-педагогических и научных работников на начало учебного года во втором году публикаций.</w:t>
            </w:r>
          </w:p>
        </w:tc>
        <w:tc>
          <w:tcPr>
            <w:tcW w:w="1276" w:type="dxa"/>
            <w:shd w:val="clear" w:color="auto" w:fill="auto"/>
          </w:tcPr>
          <w:p w:rsidR="006F2717" w:rsidRDefault="006F2717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  <w:r>
              <w:t>шт.</w:t>
            </w: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086B7A" w:rsidRDefault="00086B7A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  <w:r>
              <w:t>шт.</w:t>
            </w: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  <w:r>
              <w:t>чел.</w:t>
            </w: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Default="005E35AD" w:rsidP="00494AFE">
            <w:pPr>
              <w:jc w:val="center"/>
            </w:pPr>
          </w:p>
          <w:p w:rsidR="005E35AD" w:rsidRPr="005E35AD" w:rsidRDefault="005E35AD" w:rsidP="00494AFE">
            <w:pPr>
              <w:jc w:val="center"/>
            </w:pPr>
            <w:r>
              <w:t>чел.</w:t>
            </w:r>
          </w:p>
        </w:tc>
        <w:tc>
          <w:tcPr>
            <w:tcW w:w="1243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6F2717" w:rsidRPr="00494AFE" w:rsidTr="00494AFE">
        <w:tc>
          <w:tcPr>
            <w:tcW w:w="4786" w:type="dxa"/>
            <w:shd w:val="clear" w:color="auto" w:fill="auto"/>
          </w:tcPr>
          <w:p w:rsidR="006F2717" w:rsidRDefault="00BA17C1" w:rsidP="00494AFE">
            <w:pPr>
              <w:jc w:val="both"/>
            </w:pPr>
            <w:r>
              <w:t>д) Доля обучающихся, ставших победителями и призерами международных и всероссийских олимпиад, конкурсов:</w:t>
            </w:r>
          </w:p>
          <w:p w:rsidR="00BA17C1" w:rsidRDefault="00BA17C1" w:rsidP="00494AFE">
            <w:pPr>
              <w:jc w:val="both"/>
            </w:pPr>
            <w:r>
              <w:t>- количество обучающихся, ставших победителями и призерами международных и всероссийских олимпиад, конкурсов за два последних учебных года, предшествующих текущему учебному году;</w:t>
            </w:r>
          </w:p>
          <w:p w:rsidR="00BA17C1" w:rsidRPr="00BA17C1" w:rsidRDefault="00BA17C1" w:rsidP="00494AFE">
            <w:pPr>
              <w:jc w:val="both"/>
            </w:pPr>
            <w:r>
              <w:t>- общее количество обучающихся за два последних учебных года, предшествующих текущему учебному году.</w:t>
            </w:r>
          </w:p>
        </w:tc>
        <w:tc>
          <w:tcPr>
            <w:tcW w:w="1276" w:type="dxa"/>
            <w:shd w:val="clear" w:color="auto" w:fill="auto"/>
          </w:tcPr>
          <w:p w:rsidR="006F2717" w:rsidRPr="00086B7A" w:rsidRDefault="006F2717" w:rsidP="00494AFE">
            <w:pPr>
              <w:jc w:val="center"/>
              <w:rPr>
                <w:szCs w:val="28"/>
              </w:rPr>
            </w:pPr>
          </w:p>
          <w:p w:rsidR="00BA17C1" w:rsidRPr="00086B7A" w:rsidRDefault="00BA17C1" w:rsidP="00494AFE">
            <w:pPr>
              <w:jc w:val="center"/>
              <w:rPr>
                <w:szCs w:val="28"/>
              </w:rPr>
            </w:pPr>
          </w:p>
          <w:p w:rsidR="00086B7A" w:rsidRPr="00086B7A" w:rsidRDefault="00086B7A" w:rsidP="00494AFE">
            <w:pPr>
              <w:jc w:val="center"/>
              <w:rPr>
                <w:szCs w:val="28"/>
              </w:rPr>
            </w:pPr>
          </w:p>
          <w:p w:rsidR="00BA17C1" w:rsidRPr="00086B7A" w:rsidRDefault="00BA17C1" w:rsidP="00494AFE">
            <w:pPr>
              <w:jc w:val="center"/>
              <w:rPr>
                <w:szCs w:val="28"/>
              </w:rPr>
            </w:pPr>
          </w:p>
          <w:p w:rsidR="00BA17C1" w:rsidRDefault="00BA17C1" w:rsidP="00494AFE">
            <w:pPr>
              <w:jc w:val="center"/>
            </w:pPr>
            <w:r>
              <w:t>чел.</w:t>
            </w:r>
          </w:p>
          <w:p w:rsidR="00BA17C1" w:rsidRDefault="00BA17C1" w:rsidP="00494AFE">
            <w:pPr>
              <w:jc w:val="center"/>
            </w:pPr>
          </w:p>
          <w:p w:rsidR="00BA17C1" w:rsidRDefault="00BA17C1" w:rsidP="00494AFE">
            <w:pPr>
              <w:jc w:val="center"/>
            </w:pPr>
          </w:p>
          <w:p w:rsidR="00BA17C1" w:rsidRDefault="00BA17C1" w:rsidP="00494AFE">
            <w:pPr>
              <w:jc w:val="center"/>
            </w:pPr>
          </w:p>
          <w:p w:rsidR="00086B7A" w:rsidRDefault="00086B7A" w:rsidP="00494AFE">
            <w:pPr>
              <w:jc w:val="center"/>
            </w:pPr>
          </w:p>
          <w:p w:rsidR="00BA17C1" w:rsidRDefault="00BA17C1" w:rsidP="00BA17C1"/>
          <w:p w:rsidR="0090443C" w:rsidRPr="00BA17C1" w:rsidRDefault="0090443C" w:rsidP="00494AFE">
            <w:pPr>
              <w:jc w:val="center"/>
            </w:pPr>
            <w:r>
              <w:t>чел.</w:t>
            </w:r>
          </w:p>
        </w:tc>
        <w:tc>
          <w:tcPr>
            <w:tcW w:w="1243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F2717" w:rsidRPr="00494AFE" w:rsidRDefault="006F2717" w:rsidP="00494A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717" w:rsidRDefault="006F2717" w:rsidP="00B04BC2">
      <w:pPr>
        <w:jc w:val="center"/>
        <w:rPr>
          <w:sz w:val="28"/>
          <w:szCs w:val="28"/>
        </w:rPr>
      </w:pPr>
    </w:p>
    <w:p w:rsidR="0017196D" w:rsidRDefault="0017196D" w:rsidP="00B04BC2">
      <w:pPr>
        <w:jc w:val="center"/>
        <w:rPr>
          <w:sz w:val="28"/>
          <w:szCs w:val="28"/>
        </w:rPr>
      </w:pPr>
    </w:p>
    <w:p w:rsidR="0017196D" w:rsidRDefault="0017196D" w:rsidP="00B04BC2">
      <w:pPr>
        <w:jc w:val="center"/>
        <w:rPr>
          <w:sz w:val="28"/>
          <w:szCs w:val="28"/>
        </w:rPr>
      </w:pPr>
    </w:p>
    <w:p w:rsidR="00E23AEC" w:rsidRDefault="00E23AEC" w:rsidP="00B04BC2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74906">
        <w:rPr>
          <w:sz w:val="28"/>
          <w:szCs w:val="28"/>
        </w:rPr>
        <w:t xml:space="preserve"> По заявленным специальностям и </w:t>
      </w:r>
      <w:r>
        <w:rPr>
          <w:sz w:val="28"/>
          <w:szCs w:val="28"/>
        </w:rPr>
        <w:t>направлениям подготовки и (или) укрупненным группам специальностей и направлений подготовки</w:t>
      </w:r>
    </w:p>
    <w:p w:rsidR="00E23AEC" w:rsidRDefault="00E23AEC" w:rsidP="00B04B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268"/>
        <w:gridCol w:w="1242"/>
        <w:gridCol w:w="2418"/>
      </w:tblGrid>
      <w:tr w:rsidR="00E23AEC" w:rsidRPr="00494AFE" w:rsidTr="0017196D">
        <w:tc>
          <w:tcPr>
            <w:tcW w:w="4673" w:type="dxa"/>
            <w:shd w:val="clear" w:color="auto" w:fill="auto"/>
          </w:tcPr>
          <w:p w:rsidR="00E23AEC" w:rsidRPr="00887B4C" w:rsidRDefault="00887B4C" w:rsidP="00494AFE">
            <w:pPr>
              <w:jc w:val="center"/>
            </w:pPr>
            <w:r w:rsidRPr="00887B4C">
              <w:t>Наименование показателя и его исходных данных</w:t>
            </w:r>
          </w:p>
        </w:tc>
        <w:tc>
          <w:tcPr>
            <w:tcW w:w="1268" w:type="dxa"/>
            <w:shd w:val="clear" w:color="auto" w:fill="auto"/>
          </w:tcPr>
          <w:p w:rsidR="00E23AEC" w:rsidRPr="007D4F43" w:rsidRDefault="007D4F43" w:rsidP="00494AFE">
            <w:pPr>
              <w:jc w:val="center"/>
            </w:pPr>
            <w:r w:rsidRPr="007D4F43">
              <w:t xml:space="preserve">Единица </w:t>
            </w:r>
            <w:proofErr w:type="spellStart"/>
            <w:proofErr w:type="gramStart"/>
            <w:r w:rsidRPr="007D4F43">
              <w:t>измере-ния</w:t>
            </w:r>
            <w:proofErr w:type="spellEnd"/>
            <w:proofErr w:type="gramEnd"/>
          </w:p>
        </w:tc>
        <w:tc>
          <w:tcPr>
            <w:tcW w:w="1242" w:type="dxa"/>
            <w:shd w:val="clear" w:color="auto" w:fill="auto"/>
          </w:tcPr>
          <w:p w:rsidR="00E23AEC" w:rsidRPr="007D4F43" w:rsidRDefault="007D4F43" w:rsidP="00494AFE">
            <w:pPr>
              <w:jc w:val="center"/>
            </w:pPr>
            <w:r w:rsidRPr="007D4F43">
              <w:t>Значение исходных данных</w:t>
            </w:r>
          </w:p>
        </w:tc>
        <w:tc>
          <w:tcPr>
            <w:tcW w:w="2418" w:type="dxa"/>
            <w:shd w:val="clear" w:color="auto" w:fill="auto"/>
          </w:tcPr>
          <w:p w:rsidR="00E23AEC" w:rsidRPr="007D4F43" w:rsidRDefault="007D4F43" w:rsidP="00494AFE">
            <w:pPr>
              <w:jc w:val="center"/>
            </w:pPr>
            <w:r w:rsidRPr="007D4F43">
              <w:t>Документ (иной источник), подтверждающий значение исходных данных</w:t>
            </w:r>
          </w:p>
        </w:tc>
      </w:tr>
      <w:tr w:rsidR="00E23AEC" w:rsidRPr="00494AFE" w:rsidTr="0017196D">
        <w:tc>
          <w:tcPr>
            <w:tcW w:w="4673" w:type="dxa"/>
            <w:shd w:val="clear" w:color="auto" w:fill="auto"/>
          </w:tcPr>
          <w:p w:rsidR="00E23AEC" w:rsidRPr="007D4F43" w:rsidRDefault="007D4F43" w:rsidP="00494AFE">
            <w:pPr>
              <w:jc w:val="center"/>
            </w:pPr>
            <w:r>
              <w:t>1</w:t>
            </w:r>
          </w:p>
        </w:tc>
        <w:tc>
          <w:tcPr>
            <w:tcW w:w="1268" w:type="dxa"/>
            <w:shd w:val="clear" w:color="auto" w:fill="auto"/>
          </w:tcPr>
          <w:p w:rsidR="00E23AEC" w:rsidRPr="007D4F43" w:rsidRDefault="007D4F43" w:rsidP="00494AFE">
            <w:pPr>
              <w:jc w:val="center"/>
            </w:pPr>
            <w:r>
              <w:t>2</w:t>
            </w:r>
          </w:p>
        </w:tc>
        <w:tc>
          <w:tcPr>
            <w:tcW w:w="1242" w:type="dxa"/>
            <w:shd w:val="clear" w:color="auto" w:fill="auto"/>
          </w:tcPr>
          <w:p w:rsidR="00E23AEC" w:rsidRPr="007D4F43" w:rsidRDefault="007D4F43" w:rsidP="00494AFE">
            <w:pPr>
              <w:jc w:val="center"/>
            </w:pPr>
            <w:r>
              <w:t>3</w:t>
            </w:r>
          </w:p>
        </w:tc>
        <w:tc>
          <w:tcPr>
            <w:tcW w:w="2418" w:type="dxa"/>
            <w:shd w:val="clear" w:color="auto" w:fill="auto"/>
          </w:tcPr>
          <w:p w:rsidR="00E23AEC" w:rsidRPr="007D4F43" w:rsidRDefault="007D4F43" w:rsidP="00494AFE">
            <w:pPr>
              <w:jc w:val="center"/>
            </w:pPr>
            <w:r>
              <w:t>4</w:t>
            </w:r>
          </w:p>
        </w:tc>
      </w:tr>
      <w:tr w:rsidR="00E23AEC" w:rsidRPr="00494AFE" w:rsidTr="0017196D">
        <w:tc>
          <w:tcPr>
            <w:tcW w:w="4673" w:type="dxa"/>
            <w:shd w:val="clear" w:color="auto" w:fill="auto"/>
          </w:tcPr>
          <w:p w:rsidR="00E23AEC" w:rsidRPr="007D4F43" w:rsidRDefault="007D4F43" w:rsidP="00494AFE">
            <w:pPr>
              <w:jc w:val="both"/>
            </w:pPr>
            <w:r>
              <w:t>а) Наличие государственной аккредитации по соответствующим специальностям и направлениям подготовки (заявленным специальностям и направлениям подготовки)</w:t>
            </w:r>
          </w:p>
        </w:tc>
        <w:tc>
          <w:tcPr>
            <w:tcW w:w="1268" w:type="dxa"/>
            <w:shd w:val="clear" w:color="auto" w:fill="auto"/>
          </w:tcPr>
          <w:p w:rsidR="00E23AEC" w:rsidRPr="007D4F43" w:rsidRDefault="007D4F43" w:rsidP="00494AFE">
            <w:pPr>
              <w:jc w:val="center"/>
            </w:pPr>
            <w:r>
              <w:t>д</w:t>
            </w:r>
            <w:r w:rsidRPr="007D4F43">
              <w:t>а/нет</w:t>
            </w:r>
          </w:p>
        </w:tc>
        <w:tc>
          <w:tcPr>
            <w:tcW w:w="1242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E23AEC" w:rsidRPr="00494AFE" w:rsidTr="0017196D">
        <w:tc>
          <w:tcPr>
            <w:tcW w:w="4673" w:type="dxa"/>
            <w:shd w:val="clear" w:color="auto" w:fill="auto"/>
          </w:tcPr>
          <w:p w:rsidR="00E23AEC" w:rsidRDefault="007D4F43" w:rsidP="00494AFE">
            <w:pPr>
              <w:jc w:val="both"/>
            </w:pPr>
            <w:proofErr w:type="gramStart"/>
            <w:r>
              <w:t>б) Выполнение контрольных цифр приема за предыдущий период (два последних учебных года, в которых устанавливались контрольные цифры приема):</w:t>
            </w:r>
            <w:proofErr w:type="gramEnd"/>
          </w:p>
          <w:p w:rsidR="007D4F43" w:rsidRDefault="007D4F43" w:rsidP="00494AFE">
            <w:pPr>
              <w:jc w:val="both"/>
            </w:pPr>
            <w:r>
              <w:t xml:space="preserve">- </w:t>
            </w:r>
            <w:r w:rsidR="00EF00C7">
              <w:t>учебные годы, в которых устанавливались последний раз контрольные цифры приема (отчет ведется в порядке удаления от текущего учебного года);</w:t>
            </w:r>
          </w:p>
          <w:p w:rsidR="00EF00C7" w:rsidRDefault="00EF00C7" w:rsidP="00494AFE">
            <w:pPr>
              <w:jc w:val="both"/>
            </w:pPr>
            <w:r>
              <w:t>- установленная контрольная цифра приема по заявленной специальности, направлению подготовки или укрупненной группе специальностей и направлений подготовки в первый учебный год;</w:t>
            </w:r>
          </w:p>
          <w:p w:rsidR="00EF00C7" w:rsidRDefault="00EF00C7" w:rsidP="00494AFE">
            <w:pPr>
              <w:jc w:val="both"/>
            </w:pPr>
            <w:r>
              <w:t>- фактически выполненная контрольная цифра приема по заявленной специальности, направлению подготовки или укрупненной группе специальностей и направлений подготовки за учебный первый год;</w:t>
            </w:r>
          </w:p>
          <w:p w:rsidR="00EF00C7" w:rsidRDefault="00EF00C7" w:rsidP="00494AFE">
            <w:pPr>
              <w:jc w:val="both"/>
            </w:pPr>
            <w:r>
              <w:t>- установленная контрольная цифра приема по заявленной специальности, направлению подготовки или укрупненной группе специальностей и направлений подготовки на второй учебный год;</w:t>
            </w:r>
          </w:p>
          <w:p w:rsidR="00EF00C7" w:rsidRPr="007D4F43" w:rsidRDefault="00EF00C7" w:rsidP="00494AFE">
            <w:pPr>
              <w:jc w:val="both"/>
            </w:pPr>
            <w:r>
              <w:t>- фактически выполненная контрольная цифра приема по заявленной специальности, направлению подготовки или укрупненной группе специальностей и направлений подготовки за второй учебный год.</w:t>
            </w:r>
          </w:p>
        </w:tc>
        <w:tc>
          <w:tcPr>
            <w:tcW w:w="1268" w:type="dxa"/>
            <w:shd w:val="clear" w:color="auto" w:fill="auto"/>
          </w:tcPr>
          <w:p w:rsidR="00E23AEC" w:rsidRPr="00086B7A" w:rsidRDefault="00E23AEC" w:rsidP="00494AFE">
            <w:pPr>
              <w:jc w:val="center"/>
              <w:rPr>
                <w:szCs w:val="28"/>
              </w:rPr>
            </w:pPr>
          </w:p>
          <w:p w:rsidR="00EF00C7" w:rsidRPr="00086B7A" w:rsidRDefault="00EF00C7" w:rsidP="00494AFE">
            <w:pPr>
              <w:jc w:val="center"/>
              <w:rPr>
                <w:szCs w:val="28"/>
              </w:rPr>
            </w:pPr>
          </w:p>
          <w:p w:rsidR="00EF00C7" w:rsidRPr="00086B7A" w:rsidRDefault="00EF00C7" w:rsidP="00494AFE">
            <w:pPr>
              <w:jc w:val="center"/>
              <w:rPr>
                <w:szCs w:val="28"/>
              </w:rPr>
            </w:pPr>
          </w:p>
          <w:p w:rsidR="00086B7A" w:rsidRDefault="00086B7A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  <w:r>
              <w:t>первый год</w:t>
            </w:r>
          </w:p>
          <w:p w:rsidR="00EF00C7" w:rsidRDefault="00EF00C7" w:rsidP="00494AFE">
            <w:pPr>
              <w:jc w:val="center"/>
            </w:pPr>
            <w:r>
              <w:t>второй год</w:t>
            </w: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  <w:r>
              <w:t>чел.</w:t>
            </w: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  <w:r>
              <w:t>чел.</w:t>
            </w: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  <w:r>
              <w:t>чел.</w:t>
            </w: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Default="00EF00C7" w:rsidP="00494AFE">
            <w:pPr>
              <w:jc w:val="center"/>
            </w:pPr>
          </w:p>
          <w:p w:rsidR="00EF00C7" w:rsidRPr="00EF00C7" w:rsidRDefault="00EF00C7" w:rsidP="00494AFE">
            <w:pPr>
              <w:jc w:val="center"/>
            </w:pPr>
            <w:r>
              <w:t>чел.</w:t>
            </w:r>
          </w:p>
        </w:tc>
        <w:tc>
          <w:tcPr>
            <w:tcW w:w="1242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3F56A9" w:rsidRPr="00494AFE" w:rsidTr="0017196D">
        <w:tc>
          <w:tcPr>
            <w:tcW w:w="4673" w:type="dxa"/>
            <w:vMerge w:val="restart"/>
            <w:shd w:val="clear" w:color="auto" w:fill="auto"/>
          </w:tcPr>
          <w:p w:rsidR="003F56A9" w:rsidRDefault="003F56A9" w:rsidP="0017196D">
            <w:pPr>
              <w:jc w:val="both"/>
            </w:pPr>
            <w:r>
              <w:t>в) Трудоустройство выпускников:</w:t>
            </w:r>
          </w:p>
          <w:p w:rsidR="003F56A9" w:rsidRDefault="003F56A9" w:rsidP="0017196D">
            <w:pPr>
              <w:jc w:val="both"/>
            </w:pPr>
            <w:r>
              <w:lastRenderedPageBreak/>
              <w:t>- численность выпускников очной формы обучения (в учебном году, предшествующему текущему учебному году) по заявленной специальности, направлению подготовки или укрупненной группе специальностей и направлений</w:t>
            </w:r>
          </w:p>
          <w:p w:rsidR="003F56A9" w:rsidRDefault="003F56A9" w:rsidP="00494AFE">
            <w:pPr>
              <w:jc w:val="both"/>
            </w:pPr>
            <w:r>
              <w:t>подготовки, трудоустроенных (трудоустроенных, призванных в ряды Вооруженных Сил РФ, продолжающих обучение по очной форме, находящихся в отпуске по уходу за ребенком) по состоянию на начало текущего учебного года;</w:t>
            </w:r>
          </w:p>
          <w:p w:rsidR="003F56A9" w:rsidRDefault="003F56A9" w:rsidP="00494AFE">
            <w:pPr>
              <w:jc w:val="both"/>
            </w:pPr>
            <w:r>
              <w:t>- общая численность выпускников очной формы обучения по заявленной специальности, направлению подготовки, укрупненной группе специальностей или направлений подготовки в учебном году, предшествующем текущему учебному году.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3F56A9" w:rsidRPr="00086B7A" w:rsidRDefault="003F56A9" w:rsidP="0017196D">
            <w:pPr>
              <w:jc w:val="center"/>
              <w:rPr>
                <w:szCs w:val="28"/>
              </w:rPr>
            </w:pPr>
          </w:p>
          <w:p w:rsidR="003F56A9" w:rsidRDefault="003F56A9" w:rsidP="0017196D">
            <w:pPr>
              <w:jc w:val="center"/>
            </w:pPr>
            <w:r>
              <w:lastRenderedPageBreak/>
              <w:t>чел.</w:t>
            </w:r>
          </w:p>
          <w:p w:rsidR="003F56A9" w:rsidRDefault="003F56A9" w:rsidP="0017196D">
            <w:pPr>
              <w:jc w:val="center"/>
            </w:pPr>
          </w:p>
          <w:p w:rsidR="003F56A9" w:rsidRDefault="003F56A9" w:rsidP="0017196D">
            <w:pPr>
              <w:jc w:val="center"/>
            </w:pPr>
          </w:p>
          <w:p w:rsidR="003F56A9" w:rsidRDefault="003F56A9" w:rsidP="0017196D">
            <w:pPr>
              <w:jc w:val="center"/>
            </w:pPr>
          </w:p>
          <w:p w:rsidR="003F56A9" w:rsidRDefault="003F56A9" w:rsidP="0017196D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Pr="00086B7A" w:rsidRDefault="003F56A9" w:rsidP="00494AFE">
            <w:pPr>
              <w:jc w:val="center"/>
              <w:rPr>
                <w:szCs w:val="28"/>
              </w:rPr>
            </w:pPr>
            <w:r>
              <w:t>чел.</w:t>
            </w:r>
          </w:p>
        </w:tc>
        <w:tc>
          <w:tcPr>
            <w:tcW w:w="1242" w:type="dxa"/>
            <w:shd w:val="clear" w:color="auto" w:fill="auto"/>
          </w:tcPr>
          <w:p w:rsidR="003F56A9" w:rsidRPr="00494AFE" w:rsidRDefault="003F56A9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3F56A9" w:rsidRPr="00494AFE" w:rsidRDefault="003F56A9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3F56A9" w:rsidRPr="00494AFE" w:rsidTr="0017196D">
        <w:tc>
          <w:tcPr>
            <w:tcW w:w="4673" w:type="dxa"/>
            <w:vMerge/>
            <w:shd w:val="clear" w:color="auto" w:fill="auto"/>
          </w:tcPr>
          <w:p w:rsidR="003F56A9" w:rsidRPr="00EF00C7" w:rsidRDefault="003F56A9" w:rsidP="00494AFE">
            <w:pPr>
              <w:jc w:val="both"/>
            </w:pPr>
          </w:p>
        </w:tc>
        <w:tc>
          <w:tcPr>
            <w:tcW w:w="1268" w:type="dxa"/>
            <w:vMerge/>
            <w:shd w:val="clear" w:color="auto" w:fill="auto"/>
          </w:tcPr>
          <w:p w:rsidR="003F56A9" w:rsidRPr="00BE6407" w:rsidRDefault="003F56A9" w:rsidP="00494AF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3F56A9" w:rsidRPr="00494AFE" w:rsidRDefault="003F56A9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3F56A9" w:rsidRPr="00494AFE" w:rsidRDefault="003F56A9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E23AEC" w:rsidRPr="00494AFE" w:rsidTr="0017196D">
        <w:tc>
          <w:tcPr>
            <w:tcW w:w="4673" w:type="dxa"/>
            <w:shd w:val="clear" w:color="auto" w:fill="auto"/>
          </w:tcPr>
          <w:p w:rsidR="00E23AEC" w:rsidRDefault="00BE6407" w:rsidP="00494AFE">
            <w:pPr>
              <w:jc w:val="both"/>
            </w:pPr>
            <w:r>
              <w:lastRenderedPageBreak/>
              <w:t>г) Качественный состав профессорско-преподавательского состава (далее-ППС):</w:t>
            </w:r>
          </w:p>
          <w:p w:rsidR="00BE6407" w:rsidRDefault="00BE6407" w:rsidP="00494AFE">
            <w:pPr>
              <w:jc w:val="both"/>
            </w:pPr>
            <w:r>
              <w:t>- численность ППС, имеющих ученую степень, звание, обеспечивающих образовательный процесс по заявленной специальности, направлению подготовки или укрупненной группе специальностей и направлений подготовки в текущем учебном году;</w:t>
            </w:r>
          </w:p>
          <w:p w:rsidR="00BE6407" w:rsidRPr="00BE6407" w:rsidRDefault="00BE6407" w:rsidP="00494AFE">
            <w:pPr>
              <w:jc w:val="both"/>
            </w:pPr>
            <w:r>
              <w:t xml:space="preserve">- общая численность ППС, </w:t>
            </w:r>
            <w:proofErr w:type="gramStart"/>
            <w:r>
              <w:t>обеспечивающих</w:t>
            </w:r>
            <w:proofErr w:type="gramEnd"/>
            <w:r>
              <w:t xml:space="preserve"> образовательный процесс в текущем учебном году.</w:t>
            </w:r>
          </w:p>
        </w:tc>
        <w:tc>
          <w:tcPr>
            <w:tcW w:w="1268" w:type="dxa"/>
            <w:shd w:val="clear" w:color="auto" w:fill="auto"/>
          </w:tcPr>
          <w:p w:rsidR="00E23AEC" w:rsidRPr="00086B7A" w:rsidRDefault="00E23AEC" w:rsidP="00494AFE">
            <w:pPr>
              <w:jc w:val="center"/>
              <w:rPr>
                <w:szCs w:val="28"/>
              </w:rPr>
            </w:pPr>
          </w:p>
          <w:p w:rsidR="00BE6407" w:rsidRPr="00086B7A" w:rsidRDefault="00BE6407" w:rsidP="00494AFE">
            <w:pPr>
              <w:jc w:val="center"/>
              <w:rPr>
                <w:szCs w:val="28"/>
              </w:rPr>
            </w:pPr>
          </w:p>
          <w:p w:rsidR="00BE6407" w:rsidRDefault="00BE6407" w:rsidP="00494AFE">
            <w:pPr>
              <w:jc w:val="center"/>
            </w:pPr>
            <w:r>
              <w:t>чел.</w:t>
            </w:r>
          </w:p>
          <w:p w:rsidR="00BE6407" w:rsidRDefault="00BE6407" w:rsidP="00494AFE">
            <w:pPr>
              <w:jc w:val="center"/>
            </w:pPr>
          </w:p>
          <w:p w:rsidR="00BE6407" w:rsidRDefault="00BE6407" w:rsidP="00494AFE">
            <w:pPr>
              <w:jc w:val="center"/>
            </w:pPr>
          </w:p>
          <w:p w:rsidR="00BE6407" w:rsidRDefault="00BE6407" w:rsidP="00494AFE">
            <w:pPr>
              <w:jc w:val="center"/>
            </w:pPr>
          </w:p>
          <w:p w:rsidR="00BE6407" w:rsidRDefault="00BE6407" w:rsidP="00494AFE">
            <w:pPr>
              <w:jc w:val="center"/>
            </w:pPr>
          </w:p>
          <w:p w:rsidR="00BE6407" w:rsidRDefault="00BE6407" w:rsidP="00494AFE">
            <w:pPr>
              <w:jc w:val="center"/>
            </w:pPr>
          </w:p>
          <w:p w:rsidR="00BE6407" w:rsidRDefault="00BE6407" w:rsidP="00494AFE">
            <w:pPr>
              <w:jc w:val="center"/>
            </w:pPr>
          </w:p>
          <w:p w:rsidR="00BE6407" w:rsidRPr="00BE6407" w:rsidRDefault="00BE6407" w:rsidP="00494AFE">
            <w:pPr>
              <w:jc w:val="center"/>
            </w:pPr>
            <w:r>
              <w:t>чел.</w:t>
            </w:r>
          </w:p>
        </w:tc>
        <w:tc>
          <w:tcPr>
            <w:tcW w:w="1242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E23AEC" w:rsidRPr="00494AFE" w:rsidTr="0017196D">
        <w:tc>
          <w:tcPr>
            <w:tcW w:w="4673" w:type="dxa"/>
            <w:shd w:val="clear" w:color="auto" w:fill="auto"/>
          </w:tcPr>
          <w:p w:rsidR="00E23AEC" w:rsidRDefault="00BE6407" w:rsidP="00494AFE">
            <w:pPr>
              <w:jc w:val="both"/>
            </w:pPr>
            <w:r>
              <w:t>д) Показатель учебно-методического обеспечения образовательного процесса:</w:t>
            </w:r>
          </w:p>
          <w:p w:rsidR="00BE6407" w:rsidRDefault="00BE6407" w:rsidP="00494AFE">
            <w:pPr>
              <w:jc w:val="both"/>
            </w:pPr>
            <w:r>
              <w:t>- количество дисциплин (модулей) учебного плана, обеспеченных учебно-методическими комплексами, содержание которых представлено в сети Интернет или локальной сети образовательной организации;</w:t>
            </w:r>
          </w:p>
          <w:p w:rsidR="00BE6407" w:rsidRPr="00BE6407" w:rsidRDefault="00BE6407" w:rsidP="00494AFE">
            <w:pPr>
              <w:jc w:val="both"/>
            </w:pPr>
            <w:r>
              <w:t>- общее число дисциплин (модулей) учебного плана, предусмотренных федеральными государственными образовательными стандартами по заявленной специальности, направлению подготовки.</w:t>
            </w:r>
          </w:p>
        </w:tc>
        <w:tc>
          <w:tcPr>
            <w:tcW w:w="1268" w:type="dxa"/>
            <w:shd w:val="clear" w:color="auto" w:fill="auto"/>
          </w:tcPr>
          <w:p w:rsidR="00E23AEC" w:rsidRDefault="00E23AEC" w:rsidP="00494AFE">
            <w:pPr>
              <w:jc w:val="center"/>
            </w:pPr>
          </w:p>
          <w:p w:rsidR="005A093B" w:rsidRDefault="005A093B" w:rsidP="00494AFE">
            <w:pPr>
              <w:jc w:val="center"/>
            </w:pPr>
          </w:p>
          <w:p w:rsidR="005A093B" w:rsidRDefault="005A093B" w:rsidP="00494AFE">
            <w:pPr>
              <w:jc w:val="center"/>
            </w:pPr>
            <w:r>
              <w:t>шт.</w:t>
            </w:r>
          </w:p>
          <w:p w:rsidR="005A093B" w:rsidRDefault="005A093B" w:rsidP="00494AFE">
            <w:pPr>
              <w:jc w:val="center"/>
            </w:pPr>
          </w:p>
          <w:p w:rsidR="005A093B" w:rsidRDefault="005A093B" w:rsidP="00494AFE">
            <w:pPr>
              <w:jc w:val="center"/>
            </w:pPr>
          </w:p>
          <w:p w:rsidR="005A093B" w:rsidRDefault="005A093B" w:rsidP="00494AFE">
            <w:pPr>
              <w:jc w:val="center"/>
            </w:pPr>
          </w:p>
          <w:p w:rsidR="005A093B" w:rsidRDefault="005A093B" w:rsidP="00494AFE">
            <w:pPr>
              <w:jc w:val="center"/>
            </w:pPr>
          </w:p>
          <w:p w:rsidR="005A093B" w:rsidRDefault="005A093B" w:rsidP="00494AFE">
            <w:pPr>
              <w:jc w:val="center"/>
            </w:pPr>
          </w:p>
          <w:p w:rsidR="005A093B" w:rsidRPr="00BE6407" w:rsidRDefault="005A093B" w:rsidP="00494AFE">
            <w:pPr>
              <w:jc w:val="center"/>
            </w:pPr>
            <w:r>
              <w:t>шт.</w:t>
            </w:r>
          </w:p>
        </w:tc>
        <w:tc>
          <w:tcPr>
            <w:tcW w:w="1242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3F56A9" w:rsidRPr="00494AFE" w:rsidTr="00F71EBB">
        <w:trPr>
          <w:trHeight w:val="6071"/>
        </w:trPr>
        <w:tc>
          <w:tcPr>
            <w:tcW w:w="4673" w:type="dxa"/>
            <w:shd w:val="clear" w:color="auto" w:fill="auto"/>
          </w:tcPr>
          <w:p w:rsidR="003F56A9" w:rsidRDefault="003F56A9" w:rsidP="0017196D">
            <w:pPr>
              <w:jc w:val="both"/>
            </w:pPr>
            <w:r>
              <w:lastRenderedPageBreak/>
              <w:t xml:space="preserve">е) Средний балл единого государственного экзамена (далее-ЕГЭ)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3F56A9" w:rsidRDefault="003F56A9" w:rsidP="0017196D">
            <w:pPr>
              <w:jc w:val="both"/>
            </w:pPr>
            <w:r>
              <w:t>- средний балл ЕГЭ за первый учебный год, предшествующий текущему учебному году, у лиц, поступивших на обучение по заявленной специальности, направлению подготовки или укрупненной группе специальностей и направлений подготовки по результатам ЕГЭ, рассчитанный из суммы баллов ЕГЭ числа лиц, поступивших на обучение в данном году</w:t>
            </w:r>
          </w:p>
          <w:p w:rsidR="003F56A9" w:rsidRDefault="003F56A9" w:rsidP="00494AFE">
            <w:pPr>
              <w:jc w:val="both"/>
            </w:pPr>
            <w:r>
              <w:t>по результатам ЕГЭ;</w:t>
            </w:r>
          </w:p>
          <w:p w:rsidR="003F56A9" w:rsidRDefault="003F56A9" w:rsidP="00494AFE">
            <w:pPr>
              <w:jc w:val="both"/>
            </w:pPr>
            <w:r>
              <w:t>- средний балл ЕГЭ за второй учебный год, предшествующий текущему учебному году, у лиц, поступивших на обучение по заявленной специальности, направлению подготовки или укрупненной группе специальностей и направлений подготовки по результатам ЕГЭ, рассчитанный из суммы баллов ЕГЭ числа лиц, поступивших на обучение в данном году по результатам ЕГЭ.</w:t>
            </w:r>
          </w:p>
        </w:tc>
        <w:tc>
          <w:tcPr>
            <w:tcW w:w="1268" w:type="dxa"/>
            <w:shd w:val="clear" w:color="auto" w:fill="auto"/>
          </w:tcPr>
          <w:p w:rsidR="003F56A9" w:rsidRDefault="003F56A9" w:rsidP="0017196D">
            <w:pPr>
              <w:jc w:val="center"/>
            </w:pPr>
          </w:p>
          <w:p w:rsidR="003F56A9" w:rsidRDefault="003F56A9" w:rsidP="0017196D">
            <w:pPr>
              <w:jc w:val="center"/>
            </w:pPr>
          </w:p>
          <w:p w:rsidR="003F56A9" w:rsidRDefault="003F56A9" w:rsidP="0017196D">
            <w:pPr>
              <w:jc w:val="center"/>
            </w:pPr>
            <w:r>
              <w:t>балл</w:t>
            </w:r>
          </w:p>
          <w:p w:rsidR="003F56A9" w:rsidRDefault="003F56A9" w:rsidP="0017196D">
            <w:pPr>
              <w:jc w:val="center"/>
            </w:pPr>
          </w:p>
          <w:p w:rsidR="003F56A9" w:rsidRDefault="003F56A9" w:rsidP="0017196D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  <w:r>
              <w:t>балл</w:t>
            </w:r>
          </w:p>
          <w:p w:rsidR="003F56A9" w:rsidRDefault="003F56A9" w:rsidP="00494AFE">
            <w:pPr>
              <w:jc w:val="center"/>
            </w:pPr>
          </w:p>
          <w:p w:rsidR="003F56A9" w:rsidRDefault="003F56A9" w:rsidP="00494AF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3F56A9" w:rsidRPr="00494AFE" w:rsidRDefault="003F56A9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3F56A9" w:rsidRPr="00494AFE" w:rsidRDefault="003F56A9" w:rsidP="00494AFE">
            <w:pPr>
              <w:jc w:val="center"/>
              <w:rPr>
                <w:sz w:val="28"/>
                <w:szCs w:val="28"/>
              </w:rPr>
            </w:pPr>
          </w:p>
        </w:tc>
      </w:tr>
      <w:tr w:rsidR="00E23AEC" w:rsidRPr="00494AFE" w:rsidTr="0017196D">
        <w:tc>
          <w:tcPr>
            <w:tcW w:w="4673" w:type="dxa"/>
            <w:shd w:val="clear" w:color="auto" w:fill="auto"/>
          </w:tcPr>
          <w:p w:rsidR="00E23AEC" w:rsidRPr="008C2BE4" w:rsidRDefault="008C2BE4" w:rsidP="00494AFE">
            <w:pPr>
              <w:jc w:val="both"/>
            </w:pPr>
            <w:r>
              <w:t>ж) Наличие профессионально-общественной аккредитации образовательных программ</w:t>
            </w:r>
          </w:p>
        </w:tc>
        <w:tc>
          <w:tcPr>
            <w:tcW w:w="1268" w:type="dxa"/>
            <w:shd w:val="clear" w:color="auto" w:fill="auto"/>
          </w:tcPr>
          <w:p w:rsidR="00E23AEC" w:rsidRPr="00EB1A26" w:rsidRDefault="00EB1A26" w:rsidP="00494AFE">
            <w:pPr>
              <w:jc w:val="center"/>
            </w:pPr>
            <w:r>
              <w:t>д</w:t>
            </w:r>
            <w:r w:rsidRPr="00EB1A26">
              <w:t>а/нет</w:t>
            </w:r>
          </w:p>
        </w:tc>
        <w:tc>
          <w:tcPr>
            <w:tcW w:w="1242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E23AEC" w:rsidRPr="00494AFE" w:rsidRDefault="00E23AEC" w:rsidP="00494A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3AEC" w:rsidRDefault="00E23AEC" w:rsidP="00B04BC2">
      <w:pPr>
        <w:jc w:val="center"/>
        <w:rPr>
          <w:sz w:val="28"/>
          <w:szCs w:val="28"/>
        </w:rPr>
      </w:pPr>
    </w:p>
    <w:p w:rsidR="00EB1A26" w:rsidRDefault="00EB1A26" w:rsidP="00EB1A26">
      <w:pPr>
        <w:jc w:val="both"/>
        <w:rPr>
          <w:sz w:val="28"/>
          <w:szCs w:val="28"/>
        </w:rPr>
      </w:pPr>
    </w:p>
    <w:p w:rsidR="0017196D" w:rsidRDefault="0017196D" w:rsidP="00EB1A26">
      <w:pPr>
        <w:jc w:val="both"/>
        <w:rPr>
          <w:sz w:val="28"/>
          <w:szCs w:val="28"/>
        </w:rPr>
      </w:pPr>
    </w:p>
    <w:p w:rsidR="00EB1A26" w:rsidRDefault="00EB1A26" w:rsidP="00EB1A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17196D">
        <w:rPr>
          <w:sz w:val="28"/>
          <w:szCs w:val="28"/>
        </w:rPr>
        <w:t>___</w:t>
      </w:r>
      <w:r>
        <w:rPr>
          <w:sz w:val="28"/>
          <w:szCs w:val="28"/>
        </w:rPr>
        <w:t xml:space="preserve">  _________________  __________________</w:t>
      </w:r>
    </w:p>
    <w:p w:rsidR="00EB1A26" w:rsidRPr="0017196D" w:rsidRDefault="00EB1A26" w:rsidP="0017196D">
      <w:pPr>
        <w:jc w:val="both"/>
        <w:rPr>
          <w:vertAlign w:val="superscript"/>
        </w:rPr>
      </w:pPr>
      <w:r w:rsidRPr="0017196D">
        <w:rPr>
          <w:vertAlign w:val="superscript"/>
        </w:rPr>
        <w:t xml:space="preserve">(должность руководителя </w:t>
      </w:r>
      <w:r w:rsidR="0017196D" w:rsidRPr="0017196D">
        <w:rPr>
          <w:vertAlign w:val="superscript"/>
        </w:rPr>
        <w:t>или уполномоченного лица)</w:t>
      </w:r>
      <w:r w:rsidRPr="0017196D">
        <w:rPr>
          <w:vertAlign w:val="superscript"/>
        </w:rPr>
        <w:t xml:space="preserve">                      </w:t>
      </w:r>
      <w:r w:rsidR="0017196D">
        <w:rPr>
          <w:vertAlign w:val="superscript"/>
        </w:rPr>
        <w:t xml:space="preserve">    </w:t>
      </w:r>
      <w:r w:rsidRPr="0017196D">
        <w:rPr>
          <w:vertAlign w:val="superscript"/>
        </w:rPr>
        <w:t xml:space="preserve">      (подпись)              </w:t>
      </w:r>
      <w:r w:rsidR="0017196D">
        <w:rPr>
          <w:vertAlign w:val="superscript"/>
        </w:rPr>
        <w:t xml:space="preserve">                      </w:t>
      </w:r>
      <w:r w:rsidRPr="0017196D">
        <w:rPr>
          <w:vertAlign w:val="superscript"/>
        </w:rPr>
        <w:t xml:space="preserve">             (Ф.И.О.)</w:t>
      </w:r>
    </w:p>
    <w:p w:rsidR="00EB1A26" w:rsidRDefault="00EB1A26" w:rsidP="00EB1A26">
      <w:pPr>
        <w:jc w:val="both"/>
      </w:pPr>
    </w:p>
    <w:p w:rsidR="00EB1A26" w:rsidRDefault="00EB1A26" w:rsidP="00EB1A26">
      <w:pPr>
        <w:jc w:val="both"/>
      </w:pPr>
    </w:p>
    <w:p w:rsidR="0017196D" w:rsidRDefault="0017196D" w:rsidP="00EB1A26">
      <w:pPr>
        <w:jc w:val="both"/>
      </w:pPr>
    </w:p>
    <w:p w:rsidR="0017196D" w:rsidRDefault="0017196D" w:rsidP="00EB1A26">
      <w:pPr>
        <w:jc w:val="both"/>
      </w:pPr>
    </w:p>
    <w:p w:rsidR="0017196D" w:rsidRDefault="0017196D" w:rsidP="00EB1A26">
      <w:pPr>
        <w:jc w:val="both"/>
      </w:pPr>
    </w:p>
    <w:p w:rsidR="00EB1A26" w:rsidRDefault="00EB1A26" w:rsidP="00EB1A26">
      <w:pPr>
        <w:jc w:val="both"/>
      </w:pPr>
    </w:p>
    <w:p w:rsidR="00EB1A26" w:rsidRPr="00EB1A26" w:rsidRDefault="00EB1A26" w:rsidP="00EB1A26">
      <w:pPr>
        <w:jc w:val="both"/>
      </w:pPr>
      <w:r>
        <w:t>Примечание: Таблица исходных данных оформляется по каждой заявленной специальности, направлению подготовки, укрупненной группе специальностей и направлений подготовки.</w:t>
      </w:r>
    </w:p>
    <w:sectPr w:rsidR="00EB1A26" w:rsidRPr="00EB1A26" w:rsidSect="003F56A9">
      <w:pgSz w:w="11906" w:h="16838"/>
      <w:pgMar w:top="851" w:right="707" w:bottom="1418" w:left="181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6E" w:rsidRDefault="0005176E">
      <w:r>
        <w:separator/>
      </w:r>
    </w:p>
  </w:endnote>
  <w:endnote w:type="continuationSeparator" w:id="0">
    <w:p w:rsidR="0005176E" w:rsidRDefault="0005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Universit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6E" w:rsidRDefault="0005176E">
      <w:r>
        <w:separator/>
      </w:r>
    </w:p>
  </w:footnote>
  <w:footnote w:type="continuationSeparator" w:id="0">
    <w:p w:rsidR="0005176E" w:rsidRDefault="0005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10" w:rsidRDefault="000F5410" w:rsidP="00490A7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5410" w:rsidRDefault="000F54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10" w:rsidRDefault="000F5410" w:rsidP="00490A7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7434">
      <w:rPr>
        <w:rStyle w:val="ab"/>
        <w:noProof/>
      </w:rPr>
      <w:t>8</w:t>
    </w:r>
    <w:r>
      <w:rPr>
        <w:rStyle w:val="ab"/>
      </w:rPr>
      <w:fldChar w:fldCharType="end"/>
    </w:r>
  </w:p>
  <w:p w:rsidR="000F5410" w:rsidRDefault="000F5410">
    <w:pPr>
      <w:pStyle w:val="aa"/>
    </w:pPr>
  </w:p>
  <w:p w:rsidR="0017196D" w:rsidRDefault="001719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5B8"/>
    <w:multiLevelType w:val="multilevel"/>
    <w:tmpl w:val="DAEAD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B232A3"/>
    <w:multiLevelType w:val="hybridMultilevel"/>
    <w:tmpl w:val="98E4D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484EF4"/>
    <w:multiLevelType w:val="singleLevel"/>
    <w:tmpl w:val="34725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56443853"/>
    <w:multiLevelType w:val="hybridMultilevel"/>
    <w:tmpl w:val="15AA98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541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DD26560"/>
    <w:multiLevelType w:val="hybridMultilevel"/>
    <w:tmpl w:val="F1CCB56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497C"/>
    <w:multiLevelType w:val="multilevel"/>
    <w:tmpl w:val="DAEAD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EBC46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B1"/>
    <w:rsid w:val="000015DD"/>
    <w:rsid w:val="00011E44"/>
    <w:rsid w:val="000151D8"/>
    <w:rsid w:val="0005176E"/>
    <w:rsid w:val="000805F0"/>
    <w:rsid w:val="00081EBE"/>
    <w:rsid w:val="00086B7A"/>
    <w:rsid w:val="00087432"/>
    <w:rsid w:val="000B0036"/>
    <w:rsid w:val="000B598A"/>
    <w:rsid w:val="000C247A"/>
    <w:rsid w:val="000C4BD9"/>
    <w:rsid w:val="000D513B"/>
    <w:rsid w:val="000E2E4C"/>
    <w:rsid w:val="000E747F"/>
    <w:rsid w:val="000F5410"/>
    <w:rsid w:val="00101BE2"/>
    <w:rsid w:val="0010612B"/>
    <w:rsid w:val="001143B5"/>
    <w:rsid w:val="00115140"/>
    <w:rsid w:val="001228FF"/>
    <w:rsid w:val="001529D0"/>
    <w:rsid w:val="001540F9"/>
    <w:rsid w:val="0017196D"/>
    <w:rsid w:val="001859E3"/>
    <w:rsid w:val="001B3E8F"/>
    <w:rsid w:val="001B5BDA"/>
    <w:rsid w:val="001D04D0"/>
    <w:rsid w:val="001D228E"/>
    <w:rsid w:val="001E2384"/>
    <w:rsid w:val="001F5340"/>
    <w:rsid w:val="00214099"/>
    <w:rsid w:val="002205DC"/>
    <w:rsid w:val="00226E99"/>
    <w:rsid w:val="00236DB1"/>
    <w:rsid w:val="002406EB"/>
    <w:rsid w:val="00244800"/>
    <w:rsid w:val="0025267D"/>
    <w:rsid w:val="00256040"/>
    <w:rsid w:val="0025665B"/>
    <w:rsid w:val="00256998"/>
    <w:rsid w:val="002603AD"/>
    <w:rsid w:val="00264F6E"/>
    <w:rsid w:val="002717E9"/>
    <w:rsid w:val="00271B6B"/>
    <w:rsid w:val="00277F16"/>
    <w:rsid w:val="00280144"/>
    <w:rsid w:val="00281572"/>
    <w:rsid w:val="002B3D26"/>
    <w:rsid w:val="002D222C"/>
    <w:rsid w:val="002E44AA"/>
    <w:rsid w:val="002F1285"/>
    <w:rsid w:val="00300B87"/>
    <w:rsid w:val="00313D88"/>
    <w:rsid w:val="00321C12"/>
    <w:rsid w:val="00322B61"/>
    <w:rsid w:val="00376D2E"/>
    <w:rsid w:val="0038728D"/>
    <w:rsid w:val="00395F19"/>
    <w:rsid w:val="003C1E45"/>
    <w:rsid w:val="003C732B"/>
    <w:rsid w:val="003D2331"/>
    <w:rsid w:val="003D577A"/>
    <w:rsid w:val="003D60CC"/>
    <w:rsid w:val="003D7D02"/>
    <w:rsid w:val="003F079F"/>
    <w:rsid w:val="003F56A9"/>
    <w:rsid w:val="003F7E6F"/>
    <w:rsid w:val="00402135"/>
    <w:rsid w:val="00411C7F"/>
    <w:rsid w:val="00424D2F"/>
    <w:rsid w:val="004417DD"/>
    <w:rsid w:val="004425A2"/>
    <w:rsid w:val="00442AA8"/>
    <w:rsid w:val="00464EE0"/>
    <w:rsid w:val="00471366"/>
    <w:rsid w:val="00474906"/>
    <w:rsid w:val="00490A78"/>
    <w:rsid w:val="00493F25"/>
    <w:rsid w:val="00494AFE"/>
    <w:rsid w:val="004B155C"/>
    <w:rsid w:val="004D750F"/>
    <w:rsid w:val="004E49BD"/>
    <w:rsid w:val="005223FC"/>
    <w:rsid w:val="00524D4B"/>
    <w:rsid w:val="00543DDD"/>
    <w:rsid w:val="005765CA"/>
    <w:rsid w:val="005821FA"/>
    <w:rsid w:val="00597C16"/>
    <w:rsid w:val="00597CD2"/>
    <w:rsid w:val="005A093B"/>
    <w:rsid w:val="005B1A7D"/>
    <w:rsid w:val="005B30C8"/>
    <w:rsid w:val="005C0A4C"/>
    <w:rsid w:val="005C4FA3"/>
    <w:rsid w:val="005C7BDE"/>
    <w:rsid w:val="005D63BC"/>
    <w:rsid w:val="005E35AD"/>
    <w:rsid w:val="005F670E"/>
    <w:rsid w:val="0060577E"/>
    <w:rsid w:val="00607F8C"/>
    <w:rsid w:val="006114AC"/>
    <w:rsid w:val="00632364"/>
    <w:rsid w:val="00643118"/>
    <w:rsid w:val="006438FA"/>
    <w:rsid w:val="00656FAE"/>
    <w:rsid w:val="006640CC"/>
    <w:rsid w:val="00666F1A"/>
    <w:rsid w:val="00673F86"/>
    <w:rsid w:val="00676AA8"/>
    <w:rsid w:val="006B0E8F"/>
    <w:rsid w:val="006B7353"/>
    <w:rsid w:val="006D5F58"/>
    <w:rsid w:val="006F2717"/>
    <w:rsid w:val="006F451E"/>
    <w:rsid w:val="006F6DC6"/>
    <w:rsid w:val="00700C97"/>
    <w:rsid w:val="00701D9C"/>
    <w:rsid w:val="0070361D"/>
    <w:rsid w:val="007145D8"/>
    <w:rsid w:val="00715B14"/>
    <w:rsid w:val="007311B9"/>
    <w:rsid w:val="00751DFF"/>
    <w:rsid w:val="007523E5"/>
    <w:rsid w:val="00766EEC"/>
    <w:rsid w:val="007865ED"/>
    <w:rsid w:val="00793B79"/>
    <w:rsid w:val="007A14B3"/>
    <w:rsid w:val="007B4D84"/>
    <w:rsid w:val="007C455C"/>
    <w:rsid w:val="007C58A1"/>
    <w:rsid w:val="007D330C"/>
    <w:rsid w:val="007D4F43"/>
    <w:rsid w:val="007E1D2E"/>
    <w:rsid w:val="007E2E16"/>
    <w:rsid w:val="007F182E"/>
    <w:rsid w:val="007F5697"/>
    <w:rsid w:val="00806E6B"/>
    <w:rsid w:val="008147FF"/>
    <w:rsid w:val="008302A7"/>
    <w:rsid w:val="008401ED"/>
    <w:rsid w:val="008512FD"/>
    <w:rsid w:val="00852A8B"/>
    <w:rsid w:val="0087532C"/>
    <w:rsid w:val="00877F70"/>
    <w:rsid w:val="00887B4C"/>
    <w:rsid w:val="008954E4"/>
    <w:rsid w:val="008C2BE4"/>
    <w:rsid w:val="008C4CC2"/>
    <w:rsid w:val="008D620E"/>
    <w:rsid w:val="008F186F"/>
    <w:rsid w:val="008F3CF1"/>
    <w:rsid w:val="0090443C"/>
    <w:rsid w:val="00905DF6"/>
    <w:rsid w:val="00910B08"/>
    <w:rsid w:val="00924B09"/>
    <w:rsid w:val="009304F8"/>
    <w:rsid w:val="00930F87"/>
    <w:rsid w:val="0094068B"/>
    <w:rsid w:val="00943A26"/>
    <w:rsid w:val="0095283F"/>
    <w:rsid w:val="009545E8"/>
    <w:rsid w:val="0096075D"/>
    <w:rsid w:val="00961EE7"/>
    <w:rsid w:val="00981B97"/>
    <w:rsid w:val="00986507"/>
    <w:rsid w:val="009905BA"/>
    <w:rsid w:val="009A1CA7"/>
    <w:rsid w:val="009C07E7"/>
    <w:rsid w:val="009D2D0D"/>
    <w:rsid w:val="009D44F0"/>
    <w:rsid w:val="009E3127"/>
    <w:rsid w:val="009E78F8"/>
    <w:rsid w:val="009F5F1C"/>
    <w:rsid w:val="00A21B28"/>
    <w:rsid w:val="00A23F6B"/>
    <w:rsid w:val="00A26180"/>
    <w:rsid w:val="00A35187"/>
    <w:rsid w:val="00A371BF"/>
    <w:rsid w:val="00A40337"/>
    <w:rsid w:val="00A47EB4"/>
    <w:rsid w:val="00A714D1"/>
    <w:rsid w:val="00A72425"/>
    <w:rsid w:val="00A812D2"/>
    <w:rsid w:val="00AB1827"/>
    <w:rsid w:val="00AC67A9"/>
    <w:rsid w:val="00AD6961"/>
    <w:rsid w:val="00AE633B"/>
    <w:rsid w:val="00AF4CDE"/>
    <w:rsid w:val="00B040B9"/>
    <w:rsid w:val="00B04BC2"/>
    <w:rsid w:val="00B056C1"/>
    <w:rsid w:val="00B16C35"/>
    <w:rsid w:val="00B21A30"/>
    <w:rsid w:val="00B257C5"/>
    <w:rsid w:val="00B263D9"/>
    <w:rsid w:val="00B44B91"/>
    <w:rsid w:val="00B53A3E"/>
    <w:rsid w:val="00B60231"/>
    <w:rsid w:val="00B605F8"/>
    <w:rsid w:val="00B618BC"/>
    <w:rsid w:val="00B6415A"/>
    <w:rsid w:val="00B721D2"/>
    <w:rsid w:val="00B875E2"/>
    <w:rsid w:val="00BA17C1"/>
    <w:rsid w:val="00BC165B"/>
    <w:rsid w:val="00BD77D1"/>
    <w:rsid w:val="00BE6407"/>
    <w:rsid w:val="00BF4483"/>
    <w:rsid w:val="00BF670C"/>
    <w:rsid w:val="00C01D1E"/>
    <w:rsid w:val="00C33499"/>
    <w:rsid w:val="00C33939"/>
    <w:rsid w:val="00C4223E"/>
    <w:rsid w:val="00C4490F"/>
    <w:rsid w:val="00C57A06"/>
    <w:rsid w:val="00C6163B"/>
    <w:rsid w:val="00C71571"/>
    <w:rsid w:val="00C83B09"/>
    <w:rsid w:val="00C83ECF"/>
    <w:rsid w:val="00C86B80"/>
    <w:rsid w:val="00C93E23"/>
    <w:rsid w:val="00CA1515"/>
    <w:rsid w:val="00CA2E02"/>
    <w:rsid w:val="00CA6A40"/>
    <w:rsid w:val="00CC01A8"/>
    <w:rsid w:val="00CC1628"/>
    <w:rsid w:val="00CF1B0F"/>
    <w:rsid w:val="00CF1BD0"/>
    <w:rsid w:val="00D024A5"/>
    <w:rsid w:val="00D0407C"/>
    <w:rsid w:val="00D05CB4"/>
    <w:rsid w:val="00D073E7"/>
    <w:rsid w:val="00D10C5A"/>
    <w:rsid w:val="00D242B4"/>
    <w:rsid w:val="00D264AE"/>
    <w:rsid w:val="00D51363"/>
    <w:rsid w:val="00D56E3F"/>
    <w:rsid w:val="00D66F89"/>
    <w:rsid w:val="00D75B32"/>
    <w:rsid w:val="00D85A31"/>
    <w:rsid w:val="00D870F5"/>
    <w:rsid w:val="00D92A52"/>
    <w:rsid w:val="00DC400E"/>
    <w:rsid w:val="00DC425E"/>
    <w:rsid w:val="00DE1C7B"/>
    <w:rsid w:val="00E049AF"/>
    <w:rsid w:val="00E23AEC"/>
    <w:rsid w:val="00E2437E"/>
    <w:rsid w:val="00E44E3E"/>
    <w:rsid w:val="00E45D2F"/>
    <w:rsid w:val="00E53B83"/>
    <w:rsid w:val="00E619FA"/>
    <w:rsid w:val="00E6444B"/>
    <w:rsid w:val="00E64D43"/>
    <w:rsid w:val="00E733D2"/>
    <w:rsid w:val="00E81320"/>
    <w:rsid w:val="00E86145"/>
    <w:rsid w:val="00E86388"/>
    <w:rsid w:val="00EA1492"/>
    <w:rsid w:val="00EA1A24"/>
    <w:rsid w:val="00EA6CC7"/>
    <w:rsid w:val="00EB1A26"/>
    <w:rsid w:val="00EB568A"/>
    <w:rsid w:val="00EE2884"/>
    <w:rsid w:val="00EE41A8"/>
    <w:rsid w:val="00EE4792"/>
    <w:rsid w:val="00EE4BC3"/>
    <w:rsid w:val="00EE7434"/>
    <w:rsid w:val="00EF00C7"/>
    <w:rsid w:val="00EF58D6"/>
    <w:rsid w:val="00EF706E"/>
    <w:rsid w:val="00F046B8"/>
    <w:rsid w:val="00F0718D"/>
    <w:rsid w:val="00F16CDE"/>
    <w:rsid w:val="00F17DD4"/>
    <w:rsid w:val="00F20839"/>
    <w:rsid w:val="00F270E4"/>
    <w:rsid w:val="00F3761F"/>
    <w:rsid w:val="00F44948"/>
    <w:rsid w:val="00F5749E"/>
    <w:rsid w:val="00F75DC3"/>
    <w:rsid w:val="00F802DC"/>
    <w:rsid w:val="00F83B99"/>
    <w:rsid w:val="00FA4D2F"/>
    <w:rsid w:val="00FB39FD"/>
    <w:rsid w:val="00FB5C0E"/>
    <w:rsid w:val="00FB7F3B"/>
    <w:rsid w:val="00FD3100"/>
    <w:rsid w:val="00FE2D38"/>
    <w:rsid w:val="00FF0E6D"/>
    <w:rsid w:val="00FF5E4B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"/>
    <w:qFormat/>
    <w:pPr>
      <w:keepNext/>
      <w:ind w:left="653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32"/>
    </w:rPr>
  </w:style>
  <w:style w:type="paragraph" w:styleId="a4">
    <w:name w:val="Subtitle"/>
    <w:basedOn w:val="a"/>
    <w:qFormat/>
    <w:pPr>
      <w:jc w:val="center"/>
    </w:pPr>
    <w:rPr>
      <w:rFonts w:ascii="Arial" w:hAnsi="Arial" w:cs="Arial"/>
      <w:b/>
      <w:bCs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center"/>
    </w:pPr>
    <w:rPr>
      <w:rFonts w:ascii="CyrillicUniversity" w:hAnsi="CyrillicUniversity"/>
      <w:sz w:val="36"/>
      <w:szCs w:val="20"/>
    </w:rPr>
  </w:style>
  <w:style w:type="paragraph" w:styleId="a7">
    <w:name w:val="Body Text Indent"/>
    <w:basedOn w:val="a"/>
    <w:pPr>
      <w:autoSpaceDE w:val="0"/>
      <w:autoSpaceDN w:val="0"/>
      <w:ind w:firstLine="720"/>
      <w:jc w:val="both"/>
    </w:pPr>
    <w:rPr>
      <w:sz w:val="20"/>
    </w:rPr>
  </w:style>
  <w:style w:type="paragraph" w:styleId="20">
    <w:name w:val="Body Text 2"/>
    <w:basedOn w:val="a"/>
    <w:pPr>
      <w:jc w:val="both"/>
    </w:pPr>
    <w:rPr>
      <w:b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2E44A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13D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13D88"/>
  </w:style>
  <w:style w:type="table" w:styleId="ac">
    <w:name w:val="Table Grid"/>
    <w:basedOn w:val="a1"/>
    <w:rsid w:val="00EB56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59"/>
    <w:rsid w:val="006B7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1719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19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"/>
    <w:qFormat/>
    <w:pPr>
      <w:keepNext/>
      <w:ind w:left="653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32"/>
    </w:rPr>
  </w:style>
  <w:style w:type="paragraph" w:styleId="a4">
    <w:name w:val="Subtitle"/>
    <w:basedOn w:val="a"/>
    <w:qFormat/>
    <w:pPr>
      <w:jc w:val="center"/>
    </w:pPr>
    <w:rPr>
      <w:rFonts w:ascii="Arial" w:hAnsi="Arial" w:cs="Arial"/>
      <w:b/>
      <w:bCs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center"/>
    </w:pPr>
    <w:rPr>
      <w:rFonts w:ascii="CyrillicUniversity" w:hAnsi="CyrillicUniversity"/>
      <w:sz w:val="36"/>
      <w:szCs w:val="20"/>
    </w:rPr>
  </w:style>
  <w:style w:type="paragraph" w:styleId="a7">
    <w:name w:val="Body Text Indent"/>
    <w:basedOn w:val="a"/>
    <w:pPr>
      <w:autoSpaceDE w:val="0"/>
      <w:autoSpaceDN w:val="0"/>
      <w:ind w:firstLine="720"/>
      <w:jc w:val="both"/>
    </w:pPr>
    <w:rPr>
      <w:sz w:val="20"/>
    </w:rPr>
  </w:style>
  <w:style w:type="paragraph" w:styleId="20">
    <w:name w:val="Body Text 2"/>
    <w:basedOn w:val="a"/>
    <w:pPr>
      <w:jc w:val="both"/>
    </w:pPr>
    <w:rPr>
      <w:b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2E44A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13D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13D88"/>
  </w:style>
  <w:style w:type="table" w:styleId="ac">
    <w:name w:val="Table Grid"/>
    <w:basedOn w:val="a1"/>
    <w:rsid w:val="00EB56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59"/>
    <w:rsid w:val="006B7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1719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1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7CAF-6462-402F-89EF-E62C15F9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2020-08-12T04:54:00Z</cp:lastPrinted>
  <dcterms:created xsi:type="dcterms:W3CDTF">2020-08-13T10:36:00Z</dcterms:created>
  <dcterms:modified xsi:type="dcterms:W3CDTF">2020-08-13T10:36:00Z</dcterms:modified>
</cp:coreProperties>
</file>