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1F" w:rsidRPr="002C101F" w:rsidRDefault="002C101F" w:rsidP="002C101F">
      <w:pPr>
        <w:spacing w:after="0" w:line="240" w:lineRule="auto"/>
        <w:rPr>
          <w:rFonts w:ascii="Times New Roman" w:eastAsia="Times New Roman" w:hAnsi="Times New Roman" w:cs="Times New Roman"/>
          <w:sz w:val="24"/>
          <w:szCs w:val="24"/>
          <w:lang w:eastAsia="ru-RU"/>
        </w:rPr>
      </w:pPr>
      <w:r w:rsidRPr="002C101F">
        <w:rPr>
          <w:rFonts w:ascii="Tahoma" w:eastAsia="Times New Roman" w:hAnsi="Tahoma" w:cs="Tahoma"/>
          <w:b/>
          <w:bCs/>
          <w:color w:val="BF0000"/>
          <w:sz w:val="18"/>
          <w:szCs w:val="18"/>
          <w:lang w:eastAsia="ru-RU"/>
        </w:rPr>
        <w:t>Пояснительная записка к докладу мэра городского округа Тольятти о достигнутых значениях показателей для оценки эффективности деятельности органов местного самоуправления городского округа Тольятти за 2009 год и их планируемых значениях на 2010-2012 г.г.</w:t>
      </w:r>
      <w:r w:rsidRPr="002C101F">
        <w:rPr>
          <w:rFonts w:ascii="Tahoma" w:eastAsia="Times New Roman" w:hAnsi="Tahoma" w:cs="Tahoma"/>
          <w:color w:val="283959"/>
          <w:sz w:val="18"/>
          <w:lang w:eastAsia="ru-RU"/>
        </w:rPr>
        <w:t> </w:t>
      </w:r>
      <w:r w:rsidRPr="002C101F">
        <w:rPr>
          <w:rFonts w:ascii="Tahoma" w:eastAsia="Times New Roman" w:hAnsi="Tahoma" w:cs="Tahoma"/>
          <w:color w:val="283959"/>
          <w:sz w:val="18"/>
          <w:szCs w:val="18"/>
          <w:lang w:eastAsia="ru-RU"/>
        </w:rPr>
        <w:br/>
      </w:r>
      <w:r w:rsidRPr="002C101F">
        <w:rPr>
          <w:rFonts w:ascii="Tahoma" w:eastAsia="Times New Roman" w:hAnsi="Tahoma" w:cs="Tahoma"/>
          <w:color w:val="283959"/>
          <w:sz w:val="18"/>
          <w:szCs w:val="18"/>
          <w:lang w:eastAsia="ru-RU"/>
        </w:rPr>
        <w:br/>
      </w:r>
      <w:r w:rsidRPr="002C101F">
        <w:rPr>
          <w:rFonts w:ascii="Tahoma" w:eastAsia="Times New Roman" w:hAnsi="Tahoma" w:cs="Tahoma"/>
          <w:color w:val="898989"/>
          <w:sz w:val="18"/>
          <w:szCs w:val="18"/>
          <w:lang w:eastAsia="ru-RU"/>
        </w:rPr>
        <w:t>01.05.2010</w:t>
      </w:r>
      <w:r w:rsidRPr="002C101F">
        <w:rPr>
          <w:rFonts w:ascii="Tahoma" w:eastAsia="Times New Roman" w:hAnsi="Tahoma" w:cs="Tahoma"/>
          <w:color w:val="283959"/>
          <w:sz w:val="18"/>
          <w:lang w:eastAsia="ru-RU"/>
        </w:rPr>
        <w:t> </w:t>
      </w:r>
      <w:r w:rsidRPr="002C101F">
        <w:rPr>
          <w:rFonts w:ascii="Tahoma" w:eastAsia="Times New Roman" w:hAnsi="Tahoma" w:cs="Tahoma"/>
          <w:color w:val="283959"/>
          <w:sz w:val="18"/>
          <w:szCs w:val="18"/>
          <w:lang w:eastAsia="ru-RU"/>
        </w:rPr>
        <w:br/>
      </w:r>
      <w:r w:rsidRPr="002C101F">
        <w:rPr>
          <w:rFonts w:ascii="Tahoma" w:eastAsia="Times New Roman" w:hAnsi="Tahoma" w:cs="Tahoma"/>
          <w:color w:val="283959"/>
          <w:sz w:val="18"/>
          <w:szCs w:val="18"/>
          <w:lang w:eastAsia="ru-RU"/>
        </w:rPr>
        <w:br/>
      </w:r>
    </w:p>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Основные результаты и перспективы деятельности органов местного самоуправления по решению вопросов местного значения и обеспечению социально-экономического развития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(пояснительная записка к докладу мэра городского округа Тольятти о достигнутых значениях показателей для оценки эффективности деятельности органов местного самоуправления городского округа Тольятти за 2009 год и их планируемых значениях на 2010-2012 г.г.)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Муниципальное образование городской округ Тольятти – второй по величине в Самарской области,</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t>крупный промышленный центр Среднего Поволжья, речной порт, узел шоссейных и железнодорожных линий. Место расположения характеризуется сложными физико-географическими условиями – холмистым рельефом, разнообразным растительным покровом, близостью таких крупных водоемов, как Куйбышевское и Саратовское водохранилища.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Территорию городского округа составляют исторически сложившиеся земли городского округа, прилегающие к нему земли общего пользования, территории традиционного природопользования населения городского округа, рекреационные земли, земли для развития городского округа.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Территория городского округа разделена на районы: Автозаводский, Центральный, Комсомольский. В 2006 году произведено объединение города Тольятти с поселками городского типа Поволжский, Федоровка, поселком Загородный, селом Новоматюшкино в один населенный пункт.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Одна из особенностей городского округа – лесные массивы между районами городского округа, которые служат естественными границами. Протяженность леса между районами достигает нескольких километров, что позволяет каждому району сохранить свой микроклимат, а в целом способствует более равномерному распределению и снижению антропогенной нагрузки на воздушный бассейн городского округа.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Главным документом устойчивого развития городского округа является Генеральный план. Генеральный план определяет направление и развитие планировочного каркаса городского округа, функционального назначения территории и схему инженерного обеспечения.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Генеральном плане 2004 года территории города составляют 31479 га.   В границы городской черты входят: селитебные территории площадью 5270 га (16,7%); промышленно-коммунально-складские зоны – 5532 га (17,6%); территория внешнего транспорта – 1032 га (3,3%); городские леса – 8042 га (25,5%); земли сельхозиспользования — 724 га (2,3%).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Значительными территориальными резервами для размещения жилищно-гражданского и промышленного строительства обладают Автозаводский и Центральный район. Общая площадь городских резервных территорий составляет 4434,2 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Городской округ Тольятти – второй по величине в Самарской области и уникальное муниципальное образование, в котором сосредоточен мощнейший промышленный, инфраструктурный и кадровый потенциал региона.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Тольятти - крупнейший моногород России. Градообразующим предприятием является открытое акционерное общество «АВТОВАЗ» (далее – ОАО «АВТОВАЗ»), среднесписочная численность работников которого в 2008 году составляла 27,5% от числа экономически активного населения, объем отгруженной продукции - 53,6% в общем объеме отгруженных </w:t>
      </w:r>
      <w:r w:rsidRPr="002C101F">
        <w:rPr>
          <w:rFonts w:ascii="Times New Roman" w:eastAsia="Times New Roman" w:hAnsi="Times New Roman" w:cs="Times New Roman"/>
          <w:color w:val="283959"/>
          <w:sz w:val="23"/>
          <w:szCs w:val="23"/>
          <w:lang w:eastAsia="ru-RU"/>
        </w:rPr>
        <w:lastRenderedPageBreak/>
        <w:t>товаров, работ, услуг. В кооперации с ОАО «АВТОВАЗ» работает 166 городских предприятий и 154 предприятий региона.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Серьезные коррективы в социально-экономическое развитие городского округа Тольятти, Самарской области и РФ внес мировой финансовый кризис.</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Объем выпуска легковых автомобилей за 2009 год составил 37,1 %, а объем продаж с учетом складских запасов – 51,5% к соответствующему периоду прошлого года, что обусловлено сокращением покупательского спроса на автомобили.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За январь-декабрь 2009 год индекс промышленного производства городского округа Тольятти составил 56,4 % к уровню 2008 года, в том числе в обрабатывающих производствах – 54,7%.</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экономике городского округа Тольятти продолжают доминировать факторы, обусловившие быстроту и</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t>глубину спада: зависимость от конъюнктуры мировых цен на товары экспорта, низкий внутренний спрос и неспособность промышленности его обеспечить, слабая финансовая система и отсутствие в экономике «длинных» денег.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При этом городской округ Тольятти является стратегически важным муниципальным образованием Самарской области с точки зрения наличия, воспроизводства и развития человеческого и трудового потенциала.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Численность населения городского округа Тольятти растет, за последние пять лет она увеличилась на 3,1 тыс.человек и на 01.01.2010 составила 720,3 тыс. человек (22,7% общей ее численности по области). Среднегодовая численность постоянного населения составила 721,0 тыс.чел.</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Округ отличается наиболее благоприятной возрастной структурой населения, здесь самая высокая доля населения трудоспособного возраста среди территорий области - 65,2% от общей численности населения (в целом по России - 63%). Несмотря на то, что доля граждан старше трудоспособного возраста превышает долю детей и подростков на 3,6 п.п., эта разница значительно меньше, чем в целом по России - 5,2 п.п и по Самарской области - 7,4 п.п. Средний возраст жителей - 37,8 лет - ниже, чем в целом по РФ - 38,8 лет, и по Самарской области - 39,4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Активная демографическая политика в регионе и сложившаяся возрастная структура населения способствуют позитивным тенденциям процессов естественного воспроизводства. Это единственный городской округ области, где на протяжении последних трех лет сохраняется естественный прирост населения (в 2008 году он составил 0,7 тыс. человек, в январе-ноябре 2009 года - 0,6 тыс.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Положение на рынке труда осложняется ситуацией на ОАО «АВТОВАЗ», среднесписочная численность работников которого сократилась со 106 тыс. человек на начало 2009 года до 79 тыс. человек на 18.01.2010 (без учета дочерних организаций).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Численность зарегистрированных безработных увеличилась с начала 2009 года в 5,4 раза и на 01.01.2010 составила 16,7 тыс.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городской округ Тольятти участвовал в реализации 20 различных городских и областных целевых программ. В связи с развитием кризисных явлений в экономике в 2009 году поступление налоговых и неналоговых доходов снизилось, что внесло некоторые коррективы в реализацию раннее поставленных задач. Налоговые и неналоговые доходы бюджета городского округа были сокращены на 1460,5 млн.руб. Соответственно,   и расходная часть была секвестирована.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Финансирование программных мероприятий сократилось на 59,5%, в том числе, за счет средств городского бюджета – на 43,4%, федерального бюджета – на 46,3%, областного бюджета – на 86,5%.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SWOT-анализ, проведенный в рамках разработки Стратегического плана развития городского округа Тольятти до 2020 года, показывает, что в разряд моногородов с наиболее тяжелым экономическим положением Тольятти попал в связи с преимущественно моноотраслевым типом экономики, глубоким падением спроса на продукцию градообразующего предприятия, наличием зависимости крупнейших химических экспортно-ориентированных предприятий от конъюнктуры мирового рынка и незначительной долей малого и среднего бизнеса.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При этом городской округ Тольятти имеет существенные преимущества перед другими российскими моногородами: выгодное экономико-географическое положение, наличие рекреационных ресурсов, развитую транспортную, финансовую инфраструктуру и высокий трудовой потенциал.</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Очевидно, что используя государственную помощь, участие в реализации федеральных и областных программ, потенциал развития российского автомобильного рынка и высокий инвестиционный рейтинг Самарской области, а также возможности участия в международном и межрегиональном разделении труда и эффект агломерации, у городского округа Тольятти есть шансы сократить до минимума имеющиеся риски и выйти из кризисной ситуации.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Важным фактором жизнеобеспечения населения, способствующим стабильности социально-экономического развития городского округа Тольятти, является развитие и поддержание в нормативном состоянии сети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Основой дорожной сети городского округа Тольятти является сеть автомобильных дорог общей протяженностью 1498 км, площадью дорожных покрытий в объеме 14345 тыс. м2, в том числе с твердым покрытием –   1414 км, включающая магистральные автодороги, дороги промышленно-коммунальной зоны, внутриквартальные проезды и бульвары, дороги частного сектора.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рамках реализации ведомственной целевой программы городского округа Тольятти «Повышение безопасности дорожного движения на период 2009 – 2011 гг.» в 2009 году: установлено и заменено 1415 дорожных знаков (+ 45% к уровню 2008 года); выполнен капитальный ремонт, реконструкция и строительство 23 светофорных объектов; пешеходные ограждения в очагах аварийности установлены в том же объеме, что и в 2008 году (742 м.п.); нанесена дорожная разметка в объеме 667 км.п. (+ 42,8% к уровню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На 01.01. 2010 года в городском округе насчитывается 342 автобуса и 175 троллейбусов, из них со 100% износом - 141 автобус и 149 троллейбусов, что составляет соответственно 41,2 % и 85,1 % от общего количества.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закуплено 5 единиц автобусов марки НЕФАЗ 5299-20-32 и 6 единиц троллейбусов марки ТРОЛЗА-5275.07.</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 «Доля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текущий ремонт».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Капитальный ремонт автодорог городского округа Тольятти выполнен на площади 139,144 тыс. м2. Приведенная протяженность капитально отремонтированных дорог составляет 139,144 / 7 = 19,88 (км). Протяженность дорог в городском округе Тольятти с твердым покрытием составляет 1414 км.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выполнен капитальный ремонт автодорог на общей площади   90,3 тыс. м2 общей протяженностью 12,9 км (в 2008 году - 139,144 тыс. м2, общей протяженностью 19,88 км).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в 2009 году составил 0,91% (в 2008 году – 1,4%). По сравнению с 2008 годом этот показатель уменьшился на 0,49 п.п.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связи с сокращением финансирования долгосрочной целевой программы «Модернизация и развитие автомобильных дорог местного значения городского округа Тольятти на 2009-2015 годы» сроки реализации запланированных мероприятий по строительству и реконструкции улично-дорожной сети городского округа Тольятти перенесены на более поздние сроки.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Доля отремонтированных автомобильных дорог общего пользования местного значения с твердым покрытием, в отношении которых произведен текущий ремонт, в 2009 году составил 0,74% (в 2008 году – 0,33%). В 2009 году, по сравнению с 2008 годом, этот показатель увеличился на 0,41 п.п. за счет перераспределения финансирования внутри бюджета департамента дорожного хозяйства, транспорта и связи.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2010 году планируется реализация двух проектов реконструкции автодорог с заменой кольцевых развязок, а также строительство автодороги Н-21. Ведется работа по проектированию строительства многоуровневой развязки и подготовке проектной документации на строительство и капитальный ремонт 5 объектов дорожного хозяйства.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Данный показатель в период 2008-2012 годы остается стабильным на уровне 94,4%.</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4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Важным фактором жизнеобеспечения населения городского округа Тольятти является состояние и развитие транспорта.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Пассажирские перевозки в городском округе Тольятти в 2009 году осуществлялись двумя муниципальными предприятиями, обслуживающими: 77 автобусных маршрутов и 22 троллейбусных маршрутов. Кроме этого, перевозки пассажиров осуществляли 22 фирмы-перевозчиков на коммерческой основе по 51 городскому маршруту.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Для определения качества пассажирских перевозок применяются показатели регулярности работы городского пассажирского транспорта (выполнен на 99%) и выпуск на линию транспортных средств, осуществляющих пассажирские перевозки (в течение последних лет сохраняется на уровне 99%).</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Всему населению городского округа Тольятти доступно регулярное автобусное сообщение с административным центром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настоящее время функционирование субъектов малого предпринимательства на территории городского округа Тольятти осуществляется как в условиях глубокого финансового-экономического кризиса, так и на этапе перехода от государственной политики поддержки малого предпринимательства к государственной политике развития малого и среднего предпринимательства, предусмотренного Федеральным законом от 24.07.2007 г. № 209-ФЗ «О развитии малого и среднего предпринимательства в Российской Федерации».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связи с изменениями законодательства в области статистики, за 2008 и 2009 годы отсутствуют статистические данные об основных показателях микропредприятий численностью до 16 человек и выручкой до 60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В связи с новыми критериями по численности и структуре уставного капитала количество малых предприятий сократилось с 8,4 тыс.ед. в 2007 году до 2,2 тыс.ед. в 2008 году. С вступлением с 1 января 2009 года критерия по предельному значению выручки от реализации товаров (работ и услуг), из числа малых предприятий, числящихся в статистическом реестре, исключено еще более половины малых предприятий. Незначительная их часть получила статус среднего предприятия, а наибольшая часть – статус микропредприятия.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оценочным данным Самарастат, подготовленным по итогам выборочного государственного статистического наблюдения с распространением итогов выборочного наблюдения на генеральную совокупность, количество малых предприятий (без микропредприятий) городского округа Тольятти по состоянию на 01.01.2010 года составило 1,0 тыс. ед., сократившись на 55,6% к уровню соответствующего периода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Первое статистическое наблюдение за деятельностью микропредприятий, составляющих, по экспертной оценке, от 70% до 80% от общего количества малых предприятий, запланировано Самарастат на 2011 год, и его результаты будут известны не ранее 2012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5 «Число субъектов малого предпринимательства (единиц на 10000 человек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Расчет показателя произведен исходя из данных: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7"/>
        <w:gridCol w:w="1797"/>
        <w:gridCol w:w="1724"/>
        <w:gridCol w:w="1857"/>
      </w:tblGrid>
      <w:tr w:rsidR="002C101F" w:rsidRPr="002C101F" w:rsidTr="002C101F">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Показатель</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Ед.изм.</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2008 год</w:t>
            </w:r>
          </w:p>
        </w:tc>
        <w:tc>
          <w:tcPr>
            <w:tcW w:w="231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2009 год</w:t>
            </w:r>
          </w:p>
        </w:tc>
      </w:tr>
      <w:tr w:rsidR="002C101F" w:rsidRPr="002C101F" w:rsidTr="002C101F">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малых предприятий</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тыс.ед.</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2,3</w:t>
            </w:r>
          </w:p>
        </w:tc>
        <w:tc>
          <w:tcPr>
            <w:tcW w:w="231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1,0</w:t>
            </w:r>
          </w:p>
        </w:tc>
      </w:tr>
      <w:tr w:rsidR="002C101F" w:rsidRPr="002C101F" w:rsidTr="002C101F">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индивидуальных предпринимателей</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тыс.чел.</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15,0</w:t>
            </w:r>
          </w:p>
        </w:tc>
        <w:tc>
          <w:tcPr>
            <w:tcW w:w="231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16,0</w:t>
            </w:r>
          </w:p>
        </w:tc>
      </w:tr>
      <w:tr w:rsidR="002C101F" w:rsidRPr="002C101F" w:rsidTr="002C101F">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Среднегодовая численность населения</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тыс.чел.</w:t>
            </w:r>
          </w:p>
        </w:tc>
        <w:tc>
          <w:tcPr>
            <w:tcW w:w="213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719,4</w:t>
            </w:r>
          </w:p>
        </w:tc>
        <w:tc>
          <w:tcPr>
            <w:tcW w:w="2310" w:type="dxa"/>
            <w:tcBorders>
              <w:top w:val="outset" w:sz="6" w:space="0" w:color="auto"/>
              <w:left w:val="outset" w:sz="6" w:space="0" w:color="auto"/>
              <w:bottom w:val="outset" w:sz="6" w:space="0" w:color="auto"/>
              <w:right w:val="outset" w:sz="6" w:space="0" w:color="auto"/>
            </w:tcBorders>
            <w:hideMark/>
          </w:tcPr>
          <w:p w:rsidR="002C101F" w:rsidRPr="002C101F" w:rsidRDefault="002C101F" w:rsidP="002C101F">
            <w:pPr>
              <w:spacing w:before="150" w:after="0" w:line="270" w:lineRule="atLeast"/>
              <w:jc w:val="center"/>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721,0</w:t>
            </w:r>
          </w:p>
        </w:tc>
      </w:tr>
    </w:tbl>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Рост показателя за 2009 год составил 110,2% за счет увеличения количества индивидуальных предпринимателей на 106,7%. Количество предпринимателей увеличилось в связи с развитием самозанятости населения на фоне резкого сокращения численности работающих на предприятиях городского округа.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6.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связи с отсутствием объективных статистических данных о среднесписочной численности работников малых предприятий, включая микропредприятия, расчет показателя произведен по методике рекомендуемой ГУ «Высшая школа экономики», исходя из данных статистического баланса трудовых ресурсов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Городской округ Тольятти обладает достаточными для своего экономического развития трудовыми ресурсами. Доля численности трудовых ресурсов в общей численности населения округа составляет порядка 68,8 %.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Спад в экономике городского округа Тольятти самым непосредственным образом отразился на сфере занятости населения. Так по итогам 2009 года среднесписочная численность работающих на крупных и средних предприятиях городского округа Тольятти по сравнению с аналогичным показателем прошлого года уменьшилась на 4,4 % и составила 241,5 тыс. чел.</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Растет напряженность на рынке труда. На 01.01.2010г. официально зарегистрированных безработных состояло в ГУ Центр занятости городского округа Тольятти 16,7 тыс. человек, что в 5,4 больше уровня прошлого года (на 01.01.2009г. – 3,1 тыс. чел.).</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Уровень зарегистрированной безработицы относительно трудоспособного населения с начала 2009 года вырос с 0,68 % до 3,67 % на конец года. Реальные возможности экономики в </w:t>
      </w:r>
      <w:r w:rsidRPr="002C101F">
        <w:rPr>
          <w:rFonts w:ascii="Times New Roman" w:eastAsia="Times New Roman" w:hAnsi="Times New Roman" w:cs="Times New Roman"/>
          <w:color w:val="283959"/>
          <w:sz w:val="23"/>
          <w:szCs w:val="23"/>
          <w:lang w:eastAsia="ru-RU"/>
        </w:rPr>
        <w:lastRenderedPageBreak/>
        <w:t>обеспечении занятости населения весьма ограничены: если в начале 2009 года на 1 постоянное место претендовало 1,6 незанятых граждан, то на начало 2010 года - 12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результате высвобождения работников на предприятиях городского округа Тольятти происходит постепенное снижение численности занятых в экономике в целом. При этом следует отметить, что наибольшие сокращения рабочей силы коснулись именно крупных и средних предприятий округа, что соответственно привело к уменьшению доли занятого населения на крупных и средних предприятиях в общей численности занятых в экономике. Высвобожденные рабочие кадры с крупных и средних предприятий для поддержания уровня жизни ищут работу в малом бизнесе.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Необходимо отметить, что основной проблемой развития малого предпринимательства в городском округе Тольятти является сокращение в 2009 году потребительского спроса на товары, работы и услуги в связи со снижением доходов населения, сокращение объемов кредитования малого бизнеса, а также сохраняющаяся слабая диверсификация экономики.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Мэрия городского округа Тольятти организовывает и проводит мероприятия по созданию условий для развития малого и среднего предпринимательства на территории городского округа Тольятти в рамках целевой программы «Развитие субъектов малого и среднего предпринимательства на территории городского округа Тольятти на 2008-2010 гг.», а также мероприятия, не финансируемые из бюджета городского округа.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рамках реализации антикризисных мер по направлению поддержки и развития предпринимательства в 2009 году для субъектов малого и среднего предпринимательства проведено 10 запросов котировок для участия в конкурсах на право выполнения муниципальных заказов на общую сумму около 3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Проведены конкурсы по отбору субъектов малого и среднего предпринимательства для предоставления субсидий в целях возмещения затрат в части расходов на приобретение основных средств, оказана помощь в оформлении 94 свидетельств на право занятия предпринимательской деятельностью и регистрации 35 малых предприятий, что позволило создать до 330 новых рабочих мест.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течение 2009 года 756 безработных граждан, желающих организовать собственное дело, получили консультации по актуальным вопросам ведения бизнеса. Проведено 35 семинаров и курсов, в которых приняли участие более 3 тысяч субъектов малого и среднего предпринимательства.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Тольяттинском инновационном бизнес-инкубаторе проведены конкурсы по отбору субъектов малого и среднего предпринимательства.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целью снижения налоговой нагрузки на плательщиков земельного налога принято решение о понижении ставок земельного налога до уровня 2008 года, в связи с чем фискальная нагрузка на налогоплательщиков снизилась в общей сумме на 110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целью увеличения притока инвестиций в экономику городского округа внесены изменения в положение о земельном налоге в части предоставления льгот по земельному налогу инвесторам, реализующим инвестиционные проекты на территории городского округа. При применении указанной льготы инвесторами размер муниципальной помощи составит в общей сложности 3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целях поддержки малого предпринимательства утверждена базовая ставка арендной платы за муниципальное имущество на 2009 год на уровне 2008 года, тем самым нагрузка на арендаторов снижена в размере порядка 65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С целью снижения налоговой нагрузки на реальный сектор экономики в связи с ростом кадастровой стоимости земель изменены коэффициенты, применяемые при определении размера арендной платы за использование земельных участков, государственная </w:t>
      </w:r>
      <w:r w:rsidRPr="002C101F">
        <w:rPr>
          <w:rFonts w:ascii="Times New Roman" w:eastAsia="Times New Roman" w:hAnsi="Times New Roman" w:cs="Times New Roman"/>
          <w:color w:val="283959"/>
          <w:sz w:val="23"/>
          <w:szCs w:val="23"/>
          <w:lang w:eastAsia="ru-RU"/>
        </w:rPr>
        <w:lastRenderedPageBreak/>
        <w:t>собственность на которые не разграничена. Таким образом введено ограничение роста арендной платы, не превышающего 25% от уровня 2008 года. Размер арендной платы за земельные участки, предоставленные под строительство, сохранен на уровне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результатам проведенного анализа поступлений в бюджет доходов от субъектов малого бизнеса, уплачивающих единый налог на вмененный доход, принято решение о снижении коэффициента К2 по оказанию бытовых услуг.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Осенью 2009 года для местных производителей сельхозпродукции была организована работа сезонных ярмарок на 6-ти площадках с одновременным обустройством до 600 торговых мест.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учетом новых требований к развитию  малого бизнеса в 2009 году разработана и утверждена долгосрочная программа «Поддержка и развитие малого и среднего предпринимательства на 2010-2015 годы», предусматривающая финансирование за счет средств федерального бюджета, бюджета Самарской области, бюджета городского округа Тольятти и внебюджетных средств на сумму 13,8 млрд.руб. За 5 лет реализации данной программы планируется создание до 1,5 тысяч новых субъектов малого предпринимательства и до 8 тысяч новых рабочих мест.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 2012 году, с учетом предполагаемого сокращения численности ОАО «АВТОВАЗ» до 64 тысяч человек в 2012 году и инвестиционных проектов создания новых предприятий, преимущественно относящихся к малым, показатель № 6 может составить 41,9%, в 2011 году – 40,3%.</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Инвестиционная политика городского округа Тольятти направлена на создание благоприятных условий для расширения инвестиционной деятельности, отраслевую диверсификацию экономики, создание новых рабочих мест, формирование доходной части бюджета.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Согласно проведенному ІІ рейтингу экономической привлекательности российских городов, где приняли участие 64 из 75 администраций крупных городов, опубликованному в ежемесячном журнале "РБК", городской округ Тольятти за 2008 год занял 12-ю позицию. Однако в 2009 году Тольятти занял лишь 18-ю позицию данного рейтинга.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Основные инвестиционные проекты, вошедшие в проект разрабатываемой Программы комплексного социально-экономического развития городского округа Тольятти на 2010-2020 годы и Комплексный инвестиционный план модернизации городского округа Тольятти Самарской области на 2010 – 2020 годы, направлены на диверсификацию отраслей экономики, создание рабочих мест, модернизацию производств, развитие инфраструктуры. Общий объем инвестиций на период 2010-2013 годы составит порядка 67 млрд.руб.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Реализация серии крупных инвестиционных проектов усилит инвестиционный потенциал городского округа, позволит обеспечить занятость населения, расширить налоговую базу и увеличить приток денежных поступлений в бюджет городского округа. Кроме того, в перспективе это позволит решить задачу отраслевой диверсификации экономики.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целях повышения инвестиционной привлекательности городского округа Тольятти в 2009 году осуществлялась реализация «Положения об организации разработки Стратегического плана развития городского округа Тольятти до 2020 года», утвержденного решением Думы г.о. Тольятти № 958 от 17.09.2008г. (подготовлено техническое задание на разработку Стратегического плана развития городского округа Тольятти до 2020 года; проведен конкурс на право заключения муниципального контракта на разработку Стратегического плана; проведена научная экспертиза, сбор замечаний и предложений к I и II разделу проекта Стратегического плана).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 </w:t>
      </w:r>
      <w:r w:rsidRPr="002C101F">
        <w:rPr>
          <w:rFonts w:ascii="Times New Roman" w:eastAsia="Times New Roman" w:hAnsi="Times New Roman" w:cs="Times New Roman"/>
          <w:b/>
          <w:bCs/>
          <w:color w:val="283959"/>
          <w:sz w:val="23"/>
          <w:lang w:eastAsia="ru-RU"/>
        </w:rPr>
        <w:t>Показатель № 7 Площадь земельных участков, предоставленных для строительства, в том числе: для жилищного строительства, индивидуального жилищного строительства, для комплексного освоения в целях жилищного строительства».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для строительства на территории городского округа Тольятти предоставлено 39 земельных участков общей площадью 17,28 га, из них для жилищного строительства - 6 земельных участков общей площадью 0,7 га, в том числе 2 земельных участка общей площадью 0,46 га - на конкурсной основе. Эти показатели ниже уровня 2008 года в связи с отсутствием вакантных земельных участков, не обремененных правами третьих лиц, общего снижения активности в строительной отрасли.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8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Для определения площади земельных участков, являющихся объектами налогообложения земельным налогом, из общей площади городского округа (31479 га) была исключена площадь территории городского округа, не облагаемая земельным налогом, а, именно: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земли общего пользования – 1052 га; земли автомобильного транспорта – 518 га; земли, занятые особо охраняемыми территориями и объектами – 634 га; земли лесничеств и лесопарков – 8020 га; земли под водными объектами – 910 га; земли под объектами иного специального назначения – 40 га; земли, не вовлеченные в градостроительную и иную деятельность – 359 га; земли, предоставленные на праве аренды – 2480,76 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Таким образом, площадь земельных участков, являющихся объектами налогообложения земельным налогом, составила 17465 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Доля площади земельных участков, являющихся объектами налогообложения земельным налогом, в общей площади территориального городского округа составила 54,92%.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9: «Средняя продолжительность периода со дня принятия решения о предоставлении земельного участка для строительства или подписания протокола о результатах торгов (конкурсов, аукционов) по предоставлению земельных участков до получения разрешения на строительство».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Значение указанного показателя в 2009 году составило 914 дней и возросло к уровню 2008 года на 47 дней или 5,4%. Причины длительных сроков получения разрешений на строительство объектов состоят, главным образом, в длительных сроках оформления исходно-разрешительной документации, прохождения экспертизы проектов.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Плановое значение данного показателя на период 2010-2012 показано на уровне 2008-2009 годов. Однако, в связи с принимаемыми мерами на уровне Правительства РФ, а также разработкой административных регламентов прохождения согласований исходно-разрешительной документации в структурных подразделениях мэрии, значение данного показателя в планируемом периоде должно сократиться.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Продолжительность указанного периода и комплекс мероприятий, которые необходимо осуществить для получения разрешения на строительство, определяется сроками подготовки документов по следующим этапам: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заключение договора аренды земельного участка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государственной регистрации договора аренды</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сбор материалов для подготовки градостроительного плана, в том числе выполнение изысканий для строительства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подготовка и утверждение градостроительного плана земельного участка по обращению заявителя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разработка проектной документации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получение заключений государственной экспертизы проектной документации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подготовка и выдача разрешений на строительство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подготовка и выдача разрешения на ввод объектов в эксплуатацию</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К полномочиям органов местного самоуправления на данных этапах относятся: заключение договора аренды земельного участка (30 дней), подготовка и утверждение градостроительного плана земельного участка (30 дней), подготовка и выдача разрешений на строительство и ввод объектов в эксплуатацию (10 дней). Приведенные данные свидетельствуют о низком удельном весе продолжительности данных этапов в общих затратах времени на получение разрешения на строительство (7,75 – в 2009 году). Сокращение остальных непроизводительных затрат времени зависит от заказчиков-застройщиков, на которых у органов местного самоуправления отсутствует возможность оказывать влияние.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10: «Площадь земельных участков, предоставленных для строительства, в отношении которых со дня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том числе индивидуального жилищного строительства - в течение трех лет; иных объектов капитального строительства - в течение пяти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Значение данного показателя в 2009 году снижено к уровню 2008 года и составляет: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объектам жилищного строительства – 49,92 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иным объектам капитального строительства – 5,88 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Причинами превышения сроков строительства жилых домов свыше 3-х лет и иных объектов свыше 5-ти лет служат, в основном, отсутствие средств у застройщиков, отсутствие разрешительной документации, отклонения от проектной документации.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Ослабевание воздействия кризисных факторов на строительную отрасль, ужесточение дисциплины застройщиков и органов местного самоуправления призваны постепенно сократить число таких земельных участков.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Показатели № 11 и № 12</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t>для городского округа Тольятти не актуальны. Согласно статистическим данным в 2009 году в городском округе Тольятти 6 крупных и средних организаций осуществляли вид экономической деятельности «сельское хозяйство, охота и лесное хозяйство» или 0,07% от общего количества крупных и средних предприятий. При этом определить, сколько в их числе сельскохозяйственных предприятий, не представляется возможным. Доля отгруженной продукции данных организаций в общем объеме отгруженной продукции незначительна и составляет 0,02%.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Кроме того, на территории городского округа данные организации, как правило, фактически не осуществляют деятельность, а зарегистрированы по месту нахождения органа управления (проживания руководителя организации). По статистическим данным удельный вес прибыльных сельскохозяйственных организаций в общем их числе сократился с 60% до 25%.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13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городского округа (муниципального района)».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данный показатель составил 73,4%, увеличившись на 14,3 п.п. к уровню 2008 года за счет более интенсивного сокращения среднемесячной номинальной начисленной заработной платы работников крупных и средних предприятий по сравнению с аналогичным показателем в бюджетной сфере.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Сокращение заработной платы в коммерческом секторе связано, в основном, с введением режима неполного рабочего дня, административными отпусками без сохранения оплаты труда и другими мерами, обусловленными сокращением объемов производства продукции, выполнения работ и оказания услуг. В бюджетной сфере объемы муниципальных услуг не сокращались, правомерных оснований для снижения заработной платы не возникало.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течение 2010-2012 годов ожидается снижение показателя до 65,8%.</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14 «Среднемесячная номинальная начисленная заработная плата работников».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Среднемесячная номинальная начисленная заработная плата работников крупных и средних предприятий городского округа составила в 2009 году 15786,8 руб. что на 8,4% меньше, чем в 2008 году. Ожидаемое снижение данного показателя в 2010 году по сравнению с 2009 годом – 2,3%.</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Предполагается, что к концу 2010 году численность большинства крупных и средних предприятий городского округа (кроме ОАО «АВТОВАЗ») достигнет оптимальной величины с учетом объемов производства.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Статистические данные о среднемесячной номинальной начисленной заработной плате работников некоммерческих организаций городского округа Тольятти отсутствуют.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Среднемесячная номинальная начисленная заработная плата работников в 2009 году составила: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муниципальных детских дошкольных учреждений – 8386,1 руб. (+2,0% к уровню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учителей муниципальных общеобразовательных учреждений – 11009 руб. (+6,4% к уровню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прочих работающих в муниципальных общеобразовательных учреждениях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- 13216 руб. (+63,0% к уровню 2008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прогнозном периоде на 2010-2012 годы среднемесячная номинальная начисленная заработная плата работников планируется без повышения в том же объеме, кроме заработной платы прочих работающих (10970 руб.), которая рассчитана исходя из средств муниципального бюджета, без учета внебюджетных поступлений,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Среднемесячная заработная плата в 2009 году из всех источников финансирования, в том числе с учетом выплат, связанных с оказанием дополнительной медицинской помощи врачами-терапевтами участковыми, врачами-педиатрами участковыми, врачами общей практики, медицинскими сестрами участковыми врачей-терапевтов участковых, врачей-педиатров участковых, медицинскими сестрами врачей общей практики (врачам - 10000 руб., среднему медицинскому персоналу - 5000 руб.), выплат врачам, фельдшерам и медицинским сестрам скорой медицинской помощи (врачам 5000 руб., фельдшерам - 3500 руб., медицинским сестрам - 2500 руб.) в рамках реализации приоритетного национального проекта «Здоровье», составила у врачей 19966 руб., у среднего медицинского персонала - 11516 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Рост заработной платы на 15%, по сравнению с 2008г., произошел за счет введения с 1 января 2009 года новой системы оплаты труда в муниципальных учреждениях здравоохранения городского округа Тольятти на основании постановления мэра городского округа Тольятти № 2713-п/1 от 31.10.2008 г. «Об утверждении Положения об оплате труда работников муниципальных учреждений здравоохранения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2010-2012 годах рост среднемесячной номинальной начисленной заработной платы работников по отрасли «здравоохранение» не планируется.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В 2009 году основными задачами здравоохранения городского округа Тольятти являлись: выполнение Территориальной программы Госгарантий обязательного медицинского страхования, реализация приоритетного национального проекта в сфере здравоохранения, дополнительное лекарственное обеспечение отдельной категории граждан, санитарно – эпидемиологическое благополучие, доступность и качество оказания медицинской помощи.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состоянию на 1января 2010 года медицинская помощь оказывалась: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- 11 учреждениями, имеющими круглосуточные стационары (6 муниципальных больниц, 4 государственных учреждения здравоохранения – диспансеры и 1 МСЧ ОАО «АВТОВАЗ»);</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- 19 учреждениями, осуществляющими амбулаторно-поликлинический прием (4 муниципальные поликлиники, 5 диспансеров, 3 стоматологические поликлиники, Центр реабилитации детей «Ариадна», 6 медико-санитарных частей).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больных, получивших медицинскую помощь в дневных стационарах при медицинских учреждениях амбулаторно – поликлинического типа, за 2009 год уменьшилось на 0,2% и составило     – 25 528 человек.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В стационарах дневного пребывания при круглосуточных стационарах количество мест составило 195, увеличилось за год на 20 мест за счет открытия мест онкологического профиля в МУЗ Клиническая больница №5.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Число пролеченных больных в стационарах дневного пребывания при медицинских учреждениях стационарного типа увеличилось на 56,2% и составило 5 592 человека.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В дневных стационарах на дому количество мест увеличилось на 45 мест и составило 105 мест. Число пролеченных больных в стационарах на дому составило 1 776 человек, что в 2,4 раза больше, чем в 2008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На этапе амбулаторно–поликлинической помощи количество посещений уменьшилось на 3,6% и составило 8 996,4 на 1 000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посещений по ОМС уменьшилось на 3,6% и составило 6984,8 на 1 000 населения. Задание по обеспечению Госгарантий оказания населению Самарской области бесплатной медицинской помощи за счет средств ОМС выполнено на 101,2%.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профилактических посещений уменьшилось на 0,7% и составило 2944,5 на 1 000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платных посещений уменьшилось на 10,1% и составило 1178,9 на 1 000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вызовов скорой помощи увеличилось на 2,7% и составило за 2009 год 206 482 вызов. Увеличение связано с эпидемией простудных заболеваний, в т.ч. гриппа.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детских санаториях за 2009 год оздоровлено 5 259 ребенка, что на 5,1% меньше, чем в 2008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17 «Доля амбулаторных учреждений, имеющих медицинское оборудование в соответствии с табелем оснащения».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Доля амбулаторно-профилактических учреждений, имеющих медицинское оборудование в соответствии с табелем оснащения, в 2008, 2009г. составляла 15%. В 2010-2012 годах финансирование на закупку оборудования для муниципальных медицинских учреждений не предусмотрено, в связи с чем увеличится процент износа оборудования и, как следствие, произойдет его списание. Медицинских учреждений, укомплектованных медицинским оборудованием в соответствии с табелем оснащения, в городском округе Тольятти не будет.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lastRenderedPageBreak/>
        <w:t>Показатель № 18 «Доля муниципальных медицинских учреждений: применяющих медико-экономические стандарты оказания медицинской помощи; переведенных на оплату медицинской помощи по результатам деятельности; переведенных на новую систему оплаты труда, ориентированную на результат; переведенных преимущественно на одноканальное финансирование через систему обязательного медицинского страхования».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Все муниципальные медицинские учреждения городского округа Тольятти применяют медико-экономические стандарты оказания медицинской помощи.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Осуществление оплаты за оказание стационарной помощи производится в соответствии с клинико-статистическими группами.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2008 - 2009 г. оплата по результатам деятельности осуществлялась во всех стационарных учреждениях (за пролеченного больного на основе медико-экономических стандартов по КСГ) - 6 учреждений. В 2010 г. - на оплату по результатам деятельности переведены 4 городские поликлиники - подушевое финансирование по обязательному медицинскому страхованию.</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Всего в 2010 г. оплата по результатам деятельности осуществляется в 10 ЛПУ (6 стационарных учреждений и 4 амбулаторных учреждения). С 1 января 2010 года в соответствии с Положением о порядке оплаты медицинских услуг в системе ОМС населения Самарской области учреждения ПМСП переведены на фондодержание, финансирование страховыми медицинскими организациями осуществляется исходя из дифференцированного подушевого норматива в расчете на 1 застрахованного.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1 января 2009 года все муниципальные учреждения здравоохранения городского округа Тольятти в соответствии с постановлением мэра городского округа Тольятти № 2713-п/1 от 31.10.2008 г. "Об утверждении Положения об оплате труда работников муниципальных учреждений здравоохранения городского округа Тольятти" переведены на новую систему оплаты труда.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19 «Число случаев смерти лиц в возрасте до 65 лет», показатель № 20 «Число случаев смерти детей до 18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число случаев смерти лиц в возрасте до 65 лет составило 3150 ед., в том числе: на дому – 1838 ед., в первые сутки в стационаре – 337 ед.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связи с реализацией с 2009г. нового направления в приоритетном национальном проекте «Здоровье» - «Совершенствование медицинской помощи больным с сосудистыми заболеваниями» - число случаев смерти случаев смерти лиц в возрасте до 65 лет на дому планируется снизить на 21,1% в 2012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21 «Число работающих в муниципальных учреждениях здравоохранения в расчете на 10000 человек населения (на конец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медработников в муниципальных и государственных учреждениях увеличилось на 7,7% и составило 13 171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врачей государственных и муниципальных лечебных учреждений увеличилось на 2,1% и составило 2 324 человек, средних медицинских работников - на 5,2% и составило 5 963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22 «Уровень госпитализации в муниципальные учреждения здравоохранения».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Уровень госпитализации рассчитан в соответствии с методикой расчета, на самом деле он значительно выше за счет оказания специализированной помощи на базе муниципальных </w:t>
      </w:r>
      <w:r w:rsidRPr="002C101F">
        <w:rPr>
          <w:rFonts w:ascii="Times New Roman" w:eastAsia="Times New Roman" w:hAnsi="Times New Roman" w:cs="Times New Roman"/>
          <w:color w:val="283959"/>
          <w:sz w:val="23"/>
          <w:szCs w:val="23"/>
          <w:lang w:eastAsia="ru-RU"/>
        </w:rPr>
        <w:lastRenderedPageBreak/>
        <w:t>учреждений городского округа (онкологической, женщинам в перинатальном центре, межрайонных центрах: камбустиологическом, урологическом и др.).</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Уровень госпитализации в дневные стационары увеличился на 0,5% и составил 45,7 на 1 000 населения, вместо 41 за 2008год.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Уровень госпитализаций за 2009 год составил 215,9 на 1 000 населения (факт за 2008 год - 216,7).</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Уровень госпитализации по обязательному медицинскому страхованию (ОМС) превысил Задание по обеспечению Госгарантий оказания бесплатной медицинской помощи населению Самарской области за счет средств ОМС на 6,6% (план – 180,7 на 1 000 населения, факт – 192,7).</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23 «Средняя продолжительность пребывания пациента на койке в круглосуточном стационаре муниципальных учреждений здравоохранения», № 24 «Среднегодовая занятость койки в муниципальных учреждениях здравоохранения».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Средняя длительность лечения составила за 2009 год – 11,7 дней, (факт за 2008 год – 11,9 дней).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мест в дневных стационарах всех типов увеличилось на 47 и составило – 1 225 (факт за 2008 год – 1 178).</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Число мест в дневных стационарах при поликлиниках уменьшилось на 14 и составило 929.</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Снижение показателя средней продолжительности пребывания пациента на койке в круглосуточном стационаре планируется за счет введения новых медицинских технологий и распространение стационаросберегающих технологий (стационар одного дня). Эти мероприятия позволят привести среднегодовую занятость койки в соответствие с нормативами.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25 «Число коек в муниципальных учреждениях здравоохранения на 10000 человек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состоянию на 1 января 2010 года в стационарах города функционировало 5 525 коек (факт 01.01.2008 г. – 5 470 коек).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Обеспеченность больничными койками на 01.01.2010 года составила 76,7 (факт на 01.01.2008 г. – 76,1) на 10 000 жителей.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Число пролеченных больных на койках круглосуточного пребывания– 155 515 чел., что на 0,1% меньше факта 2008 года.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Работа койки уменьшилась на 5 дней и составила 332 дня (факт за 2008 год – 337 дня). Расчетный норматив – 336,8 дня.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оценке, данной выездной Коллегией Министерства здравоохранения и социального развития Самарской области, 25.02.10г. коечный фонд городского округа сбалансированный и оптимальный для оказания всех видов круглосуточной стационарной помощи жителям города. Увеличения коечного фонда в последующие годы планируется за счет открытия коек сестринского ухода, хосписных коек, так как ежегодно население старше трудоспособного возраста увеличивается на 7%, общая заболеваемость населения ежегодно растет в среднем на 3-5%.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b/>
          <w:bCs/>
          <w:color w:val="283959"/>
          <w:sz w:val="23"/>
          <w:lang w:eastAsia="ru-RU"/>
        </w:rPr>
        <w:t>Показатель № 26 «Стоимость содержания одной койки в муниципальных учреждениях здравоохранения в сутки».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Значение стоимости содержания одной койки в муниципальных учреждениях здравоохранения в сутки - это фактический размер средств муниципального бюджета, направленных на содержание ЛПУ, работающих в системе ОМС, приходящихся на 1 койко-</w:t>
      </w:r>
      <w:r w:rsidRPr="002C101F">
        <w:rPr>
          <w:rFonts w:ascii="Times New Roman" w:eastAsia="Times New Roman" w:hAnsi="Times New Roman" w:cs="Times New Roman"/>
          <w:color w:val="283959"/>
          <w:sz w:val="23"/>
          <w:szCs w:val="23"/>
          <w:lang w:eastAsia="ru-RU"/>
        </w:rPr>
        <w:lastRenderedPageBreak/>
        <w:t>день стационарной медицинской помощи в системе ОМС (без расходов, входящих в структуру тарифа по обязательному медицинскому страхованию).</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Снижение расходов муниципального бюджета на содержание 1 койки в муниципальных учреждениях в сутки до 211 руб. в 2012 году против 250 руб. в 2008 году связано с секвестированием расходов бюджета городского округа Тольятти в 2009 году в связи со сложившейся ситуацией в экономике страны и городского округа Тольятти по отрасли «Здравоохранение» на 14,5 % (утвержденный план ассигнований на 2009 г. по отрасли "Здравоохранение" – 1277,9 млн. руб., уточненный план ассигнований на 2009 г. – 1092,0 млн. руб., секвестировано расходов бюджета в сумме – 185,9 млн. 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27 «Средняя стоимость койко-дня в муниципальных стационарных медицинских учреждениях»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Средняя стоимость койко–дня в муниципальных стационарных медицинских учреждениях – это среднее значение фактических расходов, входящих в структуру тарифа по ОМС, на один койко – день стационарной медицинской помощи в системе ОМС. За счет средств ОМС компенсируются затраты ЛПУ в соответствии с целевыми статьями и видами расходов бюджетов РФ, определяемыми Тарифным соглашением, заключаемым между Министерством здравоохранения и социального развития Самарской области, ассоциацией медицинских страховых компаний Самарской области, Самарской областной ассоциацией врачей и Территориальным фондом ОМС Самарской области (5 статей затрат: оплата труда, начисления на фонд оплаты труда, медикаменты и перевязочные средства, мягкий инвентарь, продукты питания).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План на 2009 год по Тарифному соглашению (городской уровень) на 1 койко-день по ОМС - 720 руб., кассовые расходы - 795 руб. Отклонение фактической стоимости 1 койко-дня от плана в 2009 году связано с видами оказываемых услуг и профилей лечебных отделений (онкологический, инфекционный, гематологический, нефрологический, неврологический (с нарушением мозгового кровообращения), торакально–хирургический профиль и др.), где стоимость госпитализации и койко-дня по прейскуранту ОМС выше, чем средняя по Тарифному соглашению. План на 2010 год - по Тарифному соглашению с 01.01.2010 г. (городской уровень) - 736 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28 «Объем медицинской помощи, предоставляемой муниципальными учреждениями здравоохранения, в расчете на одного жителя».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объемах стационарной помощи, оказываемой больничными учреждениями города, 12% медицинской помощи оказывается пациентам, не проживающим на территории г.о. Тольятти (участие медицинских учреждений в программах «Профилактика сердечно сосудистых заболеваний», «Дорожно-транспортный травматизм», оказание медицинской помощи по урологии, онкологии, оказание медицинской помощи пациенткам перинатального центра, а так же живущим с ВИЧ-инфекцией).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При перерасчёте объема медицинской помощи предоставляемой муниципальными учреждениями в расчёте на одного жителя муниципального образования данный показатель составил в 2009 году 1,8 койко-день, что не превышает норматива установленного субъектом Российской Федерации по стационарной медицинской помощи.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Фактические объем амбулаторной медицинской помощи за 2009 год по г.о. Тольятти рассчитывается в соответствии с инструкцией по данным формы № 62, которая не имеет разделения по застрахованным жителям г.о Тольятти и застрахованным жителям Самарской области (г. Жигулёвск, г. Сызрань, Ставропольского р-на и т.д.). 1,5% амбулаторной помощи, по специальностям, отсутствующим в поликлинических учреждениях (ревматолог, пульмонолог, гематолог, нейрохирург, офтальмолог и т.д.), оказывается на базе стационаров города населению, проживающему как на территории городского округа Тольятти, так и вне его территории.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При перерасчёте объема амбулаторной медицинской помощи на 1 жителя муниципального образования данный показатель составил в 2009 году 7,9 посещения. Рост в 2009 году произошел за счет открытия дополнительных мест в дневных стационарах всех типов в целях развития стационарозамещающих технологий.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Рост показателя объема скорой медицинской помощи в расчете на одного жителя в 2009 году за счет эпидемии гриппа.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29 «Стоимость единицы объема оказанной медицинской помощи муниципальными учреждениями здравоохранения».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Стоимость единицы объема оказанной медицинской помощи муниципальными учреждениями здравоохранения - это значение среднего размера фактического совокупного финансирования ЛПУ из средств всех бюджетов, приходящегося на единицу медицинской помощи соответствующего вида. Рост по стационарной помощи - за счет увеличения стоимости 1 койко-дня по тарифам ОМС в соответствии с Тарифным соглашением с 01.09.2009 г. на 18 % по оплате труда, медикаментам, питанию и мягкому инвентарю. Снижение стоимости 1 пациенто-дня в дневных стационарах всех типов - за счет открытия дневного стационара в Перинатальном центре Городской клинической больнице № 5 и дополнительных мест дневного стационара в городских поликлиниках, где в структуре 1 койко-дня не предусмотрены расходы на питание больных и стоимость госпитализации больного ниже, чем в стационарах дневного пребывания (при стационарах).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32 «Доля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Для муниципалитета важнейшей задачей является максимальный охват дошкольным образованием, прежде всего, детей в возрасте от 3 до 7 лет. В городском округе Тольятти дошкольным образованием в 2009 году было охвачено 26 466 (89%) от общего количества детей данного возраста (27508 чел. в 2008 году- 82%).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Увеличение показателя в 2009 году достигнуто в результате реализации плановых мероприятий муниципалитета по созданию дополнительных мест в условиях уменьшения количества детей данного возраста: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освобождение детских садов от арендаторов;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переоборудование специализированных кабинетов в МДОУ для обучения детей.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Результатом перечисленных мероприятий стало открытие в 2009 году в детских садах города 7 дополнительных групп, в которые принято 124 ребенка. Финансирование из муниципального бюджета на эти цели составило более 5,5 млн. рублей.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В 2010 году запланировано охватить дошкольным образованием не менее 91% детей от 3 до 7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Для достижения прогнозируемого результата охвата детей дошкольным образованием в 2010 году запланировано: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открытие 43 (770 мест) дополнительных групп (в т.ч. 38 групп – в детских садах АНО ДО «Планета детства «Лада») На эти мероприятия предусмотрены средства из муниципального (4500 тыс. руб.) регионального (35000 тыс. руб) бюджетов;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создание дополнительных мест (85 мест) за счет перевода функционирующих малокомплектных групп компенсирующей направленности в помещения меньшей площади.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lastRenderedPageBreak/>
        <w:t>Показатель № 33 «Удельный вес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значение данного показателя составило 62,4% (в 2008 году - 79%), но объективного снижения значения данного показателя не произошло. В 2008 году расчёт значения показателей был произведен на основании данных учета количества услуг дополнительного образования, а не количества пользователей. Введение учета численности обучающихся на основании единой электронной базы данных (позволило с 2009 года ввести персонифицированный учёт количества физических лиц, получающих услуги дополнительного образования. Произвести перерасчет показателя за 2008 год не представляется возможным по техническим причинам. Таким образом, значения показателя за 2008 и 2009 год не сопоставимы, их сравнение является некорректным, а сложившаяся отрицательная динамика – необъективной.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Показатель является консолидированным по отрасли «образование» и отрасли «культура» на основе сертификационного учета базы данных модуля «Дополнительное образование» Автоматизированной системы управления региональной системой образования (АСУ РСО).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плановом периоде предполагается сохранение контингента учащихся муниципальных образовательных учреждений, подведомственных департаменту культуры мэрии, на уровне 2009 года (на 01.01.2009 г. 7075 учащихся - 10,95 % от общего числа детей школьного возраста в возрасте от 6 до 18 лет).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34 «Доля детских дошкольных муниципальных учреждений в общем числе организаций, в том числе субъектов малого предпринимательства, оказывающих услуги по содержанию детей в таком учреждении, услуги по дошкольному образованию и получающих средства бюджета городского округа на оказание таких услуг».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Значение данного показателя для городского округа Тольятти остается стабильным.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В связи с необходимостью обеспечения, в соответствии с действующим законодательством, гарантий прав ребенка на бесплатное дошкольное образование в период до 2012 года запланирован рост показателя на 1 %, за счет открытия детских садов после реконструкции зданий (в случае возобновления действия областной программы «Развитие сети дошкольных образовательных учреждений в Самарской области» на 2009-2011годы).</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35 «Доля детей в возрасте от 5 до 7 лет, получающих дошкольные образовательные услуги».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Охват дошкольным образованием детей в возрасте от 5 до 7 лет особенно актуален для обеспечения равных стартовых возможностей детей при поступлении в школу.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Доля детей в возрасте от 5 до 7 лет, получающих дошкольные образовательные услуги, в 2009 году составляет 89,5%, что значительно превышает показатель 2008 года – 76%</w:t>
      </w:r>
      <w:r w:rsidRPr="002C101F">
        <w:rPr>
          <w:rFonts w:ascii="Times New Roman" w:eastAsia="Times New Roman" w:hAnsi="Times New Roman" w:cs="Times New Roman"/>
          <w:b/>
          <w:bCs/>
          <w:color w:val="283959"/>
          <w:sz w:val="23"/>
          <w:lang w:eastAsia="ru-RU"/>
        </w:rPr>
        <w:t>.</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t>В 2009 году для максимального удовлетворения потребности населения в предшкольном образовании на базе МДОУ была организована работа: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разновозрастных групп (5-7 лет), зачисление в которые осуществляется по мере необходимости;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групп кратковременного пребывания по предшкольной подготовке.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условиях незначительного (на 145 детей) увеличения общего количества детей старшего дошкольного возраста прогнозируется увеличение до 95% охвата детей от 5 до 7 лет дошкольным образованием.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 В городской системе образования на 31.12.2009 года функционировало 211 муниципальных образовательных учреждений, реализующих программы дошкольного, общего и дополнительного образования из них:</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дошкольных образовательных учреждений – 88;</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общеобразовательных учреждений – 85;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учреждений дополнительного образования детей – 32;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учреждений дополнительного профессионального образования (повышения квалификации) специалистов - 2;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межшкольных учебных комбинатов – 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прочих -2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детей: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муниципальных общеобразовательных учреждениях - 65075 учащихся;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дошкольных образовательных учреждениях – 31286 ребенок.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№37 «Удельный вес лиц, сдавших единый государственный экзамен, в числе выпускников общеобразовательных муниципальных учреждений, участвовавших в едином государственном экзамене»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Резкий рост (с 46,2% до 79,2%) показателя связан, в том числе, с изменениями, внесенными в 2009 г. в Положение о формах и порядке государственной (итоговой) аттестации обучающихся, освоивших общеобразовательные программы среднего (полного) общего образования и Порядок проведения ЕГЭ.</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С 2009 года все выпускники, планирующие поступление в вуз в текущем году, вынуждены сдавать ЕГЭ по всем необходимым им предметам, поэтому доля участников ЕГЭ, вышедших на ЕГЭ по трем и более предметам выросла почти вдвое.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Средние баллы ЕГЭ тольяттинских школьников стабильно выше среднероссийских показателей, что отражает конкурентоспособность системы образования г. о. Тольятти. Необходимо отметить положительную динамику по: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успеваемости (только за последние три года успеваемость по русскому языку выросла с 92,1% до 98,5%, по математике – с 74,9% до 97,3%);</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доли выпускников, успешно сдающих ЕГЭ по всем заявленнымими предметам (за три года с 78,6% до 93,7%).</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38 «Доля муниципальных общеобразовательных учреждений, переведенных: на нормативное подушевое финансирование; на новую систему оплаты труда, ориентированную на результат».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Финансирование учреждений отрасли «Образование» г.о. Тольятти осуществляется в соответствии с нормативами бюджетного финансирования образовательных учреждений, которое введено на территории г.о. Тольятти   с 2002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Необходимо отметить, что с 2009 года в учреждениях и дополнительного образования введена новая система оплаты труда, ориентированная на конечный результат (по школам такая система введена с 2006 года, по дошкольным учреждениям с 2008 года). Рост средней заработной платы по учреждениям дополнительного образования детей в 2009 году составил 18% по отношению к 2008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 xml:space="preserve">Показатель № 39 «Доля муниципальных общеобразовательных упреждений с числом учащихся на 3-й ступени обучения (10-11 классы) менее 150 человек в городской </w:t>
      </w:r>
      <w:r w:rsidRPr="002C101F">
        <w:rPr>
          <w:rFonts w:ascii="Times New Roman" w:eastAsia="Times New Roman" w:hAnsi="Times New Roman" w:cs="Times New Roman"/>
          <w:b/>
          <w:bCs/>
          <w:color w:val="283959"/>
          <w:sz w:val="23"/>
          <w:lang w:eastAsia="ru-RU"/>
        </w:rPr>
        <w:lastRenderedPageBreak/>
        <w:t>местности и менее 84 человек в сельской местности в общем числе муниципальных общеобразовательных учреждений».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Значение данного показателя в 2009 году составило 96,3% ,что выше показателя 2008 года (89,1%) на 7,2%.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прогнозном периоде до 2012 года реализация муниципального плана оптимизации сети должна обеспечить уменьшение данного показателя в 2010 году – до 90%, 2011 году – до 88% и в 2012 году – до 86%.</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42 «Удельный вес населения, систематически занимающегося физической культурой и спортом»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Государственная политика в области физической культуры и спорта в последнее время имеют тенденцию к развитию и направлена на более полное обеспечение реализации прав граждан на укрепление здоровья средствами физической культуры и спорта. Основной объем работы по ее реализации отводится муниципальному сектору.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Доля жителей городского округа Тольятти, регулярно занимающихся физической культурой и спортом в 2009 году, составила 14,1%, что на 0,6 процентных пункта больше, чем в 2008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Обеспеченность плоскостными сооружениями составляет 38,6% от норматива, спортивными залами - 33,8%, бассейнами - 6,7%. Состояние имеющихся спортивных объектов, особенно плоскостных сооружений, в основном не отвечает современным требованиям и требованиям техники безопасности.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в городском округе Тольятти завершена процедура передачи спортивных объектов ОАО «АВТОВАЗ» в собственность муниципалитета. Данное решение позволит в дальнейшем исключить возможность перепрофилирования спортивных объектов, произвести необходимый ремонт и более эффективно использовать спортивные сооружения по назначению. Вместе с тем, для создания жителям городского округа благоприятных условий для регулярных занятий физической культурой и спортом необходимо строительство новых спортивных сооружений, в том числе непосредственно в густонаселенных жилых кварталах.</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Развитие физической культуры и спорта в городском округе на 2010-2012 годы прогнозируется с учетом концепции федеральной целевой программы «Развитие физической культуры и спорта в Российской Федерации на 2006-2015 годы».</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Одним из главенствующих направлений является сохранение и развитие сети спортивных сооружений, государственных и муниципальных учреждений дополнительного образования, физкультурно-спортивных объединений, клубов, а также обеспечение необходимого уровня сервиса услуг на физкультурно-спортивных сооружениях и доступности их посещения населением, поддержка общественных инициатив в сфере укрепления спортивной материальной базы.</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настоящее время на согласовании находится ведомственная целевая программа «Развитие физической культуры и спорта в городском округе Тольятти на 2010 год и плановый период 2011-2012 годов», в рамках которой предполагается процесс оптимизации спортивных школ (сокращение) с сохранением показателя количества учащихся в детско-юношеских спортивных школах.</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Кроме того, проектом Программы комплексного социально-экономического развития городского округа Тольятти на 2010-2020 годы предусмотрено строительство 28 универсальных спортивных площадок – экономичных в строительстве и эксплуатации открытых плоскостных сооружений с современным покрытием, крышей-навесом, хозблоком. На это программное мероприятие предусмотрено финансирование в сумме 673,2 млн.руб., в том числе на период 2010-2013 годы – 21,4 млн. руб. (3,2% от общей суммы финансирования).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В проект программы на долгосрочную перспективу также вошли: строительство лыжероллерной трассы в лесной зоне Центрального района, футбольного поля с искусственным травяным покрытием за СК «Кристалл», 9 ед. физкультурно-спортивных комплексов, ледового дворца спорта «Лада-Арена», реконструкция стадионов «Труд» и «Дружба» с укладкой искусственного травяного покрытия.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 Показатель № 43 «Доля многоквартирных домов, в которых собственники помещений выбрали и реализуют один из способов управления многоквартирными домами»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Плановые значения показателей на 2010-2012 года не имеют значительного изменения, в связи с тем, что основная работа по выбору способа управления проведена в 2008-2009 годах и собственниками заключены договора управления на срок 3-5 лет.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44.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Рост данного показателя в 2010-1012 гг. на 21,2 п.п. по сравнению с 2009 годом обусловлен переходом муниципальных предприятий, оказывающих услуги в сфере ЖКХ, в частную форму собственности.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45. «Доля организаций, осуществляющих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осуществляющих данные виды деятельности на территории городского округа (муниципального района), кроме товариществ собственников жилья, жилищных, жилищно-строительных кооперативов и иных специализированных потребительских кооперативов»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Доля управляющих организаций будет увеличиваться в связи с ликвидацией управляющих компаний, имеющих муниципальную долю в уставном капитале более 25%.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46. Доля объема отпуска коммунальных ресурсов, счета за которые выставлены по показаниям приборов учета.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Учитывая требования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планируется внести корректировки в муниципальную программу по срокам установки общедомовых приборов учета.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Комплексной программе социально-экономического развития городского округа Тольятти на 2010-2020 г.г., с целью опережающего финансирования работ по установке общедомовых приборов учета с использованием федерального бюджета, запланированы мероприятия по установке общедомовых приборов учета в многоквартирных домах городского округа Тольятти в 2 этапа: в 2010 и 2011-2012 годах на общую сумму финансирования 852,0 млн.руб.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47 «Уровень собираемости платежей за предоставленные жилищно-коммунальные услуги»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Уровень собираемости платежей за предоставленные жилищно-коммунальные услуги в 2010-2012 годах планируется на уровне 2009 года. Департаментом городского хозяйства совместно </w:t>
      </w:r>
      <w:r w:rsidRPr="002C101F">
        <w:rPr>
          <w:rFonts w:ascii="Times New Roman" w:eastAsia="Times New Roman" w:hAnsi="Times New Roman" w:cs="Times New Roman"/>
          <w:color w:val="283959"/>
          <w:sz w:val="23"/>
          <w:szCs w:val="23"/>
          <w:lang w:eastAsia="ru-RU"/>
        </w:rPr>
        <w:lastRenderedPageBreak/>
        <w:t>с управляющими компаниями, осуществляющими обслуживание жилого фонда, разработан и действует план мероприятий по погашению задолженности населения. В связи со снижением доходов населения городского округа Тольятти в условиях экономического кризиса и в целях обеспечения доступности жилищно-коммунальных услуг мэрией городского округа на 2010 год плата граждан за содержание жилищного фонда утверждена на уровне 2009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48. Процент подписанных паспортов готовности жилищного фонда и котельных (по состоянию на 15 ноября отчетного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Паспорта готовности жилищного фонда и котельных готовятся в полном объёме и на все объекты в обязательном порядке при подготовке к отопительному сезону.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50 «Общая площадь жилых помещений, приходящаяся в среднем на одного жителя».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Общая площадь жилых помещений, приходящаяся в среднем на одного жителя, - всего, в том числе введенная в действие за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Средняя обеспеченность жильем на конец 2009 года по статистическим данным составила 20,3 кв.м., в то время как в соответствии с действующим Генеральным планом расчетная обеспеченность жильем в указанном периоде должна составить 19,8 кв.м. на одного жителя.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Планируемый ввод жилья в 2010-2012 годах в общем объеме 306 тыс.кв.м. общей площади позволит увеличить значение данного показателя на конец 2012 года до 20,7 кв.м. на одного жителя.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54: «Год утверждения или внесения последних изменений: в Генеральный план городского округа, в Правила землепользования и застройки городского округа»: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2008год.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2008 году утверждена "Схема функциональных зон городского округа Тольятти" в рамках внесения изменений в проект корректировки Генерального плана г. Тольятти до 2015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Утверждены новые Правила землепользования и застройки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2009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Подготовлено задание на разработку градостроительной документации (проект изменений в Генеральный план городского округа Тольятти на расчетный срок до 2025 года) и пакет документов для размещения муниципального заказа на торги.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Выполнены мероприятия по подготовке изменений в Правила землепользования и застройки в соответствии со ст. 33 Градостроительного кодекса РФ — 6 решений Думы городского округа Тольятти. Внесены соответствующие изменения в Правила землепользования и застройки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2010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2010 году проведен открытый конкурс на право заключения муниципального контракта на разработку проекта изменений в Генеральный план городского округа Тольятти на расчетный срок до 2025 года. Муниципальный контракт на выполнение внесений изменений в Генеральный план заключен с ГУП «ТерНИИгражданпроект» г. Самара.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настоящее время в соответствии с заданием на разработку градостроительной документации (проект изменений в Генеральный план на расчетный срок до 2025 года) ведется сбор исходных данных для разработки проекта.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2011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В целях обеспечения реализации проектных решений и достижения утвержденных показателей Генерального плана городского округа Тольятти до 2025 года в 2011 году планируется разработать «План реализации Генерального плана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56 «Доля муниципальных автономных учреждений от общего числа муниципальных учреждений (бюджетных и автономных) в городском округе (муниципальном районе)».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2008-2009 г.г. в городском округе начат процесс создания автономных учреждений, а так же процесс перевода учреждений из статуса бюджетных в автономные.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57. 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и доходов от платных услуг, оказываемых муниципальными бюджетными учреждениями) в общем объеме доходов бюджета муниципального образования.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Снижение доли собственных доходов бюджета городского округа в общем объеме доходов в 2009 году по сравнению с 2008 годом на 6,1 п.п. связано со снижением объема налоговых доходов в связи с кризисной ситуацией в экономике.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Доля собственных доходов бюджета городского округа в общем объеме доходов в 2010 году по сравнению с 2009 годом незначительно увеличилась в связи со снижением планируемой суммы безвозмездных поступлений в 2010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рамках взаимодействия с исполнительными органами государственной власти РФ и Самарской области в целях улучшения налогового администрирования и увеличения поступления доходов в бюджет городского округа, постановлением мэра городского округа от 14.11.2008г.№ 2820-П/1 утверждена и реализуется Программа совместных действий мэрии городского округа Тольятти, правоохранительных, контролирующих и иных органов и организаций по усилению налоговой дисциплины на территории городского округа, обеспечению поступлений налоговых и других обязательных платежей в бюджет городского округа Тольятти и развитию налоговой базы в городском округе на 2008-2010г.г.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Доходная часть бюджета городского округа на 2011-2012 годы утверждена без учета безвозмездных поступлений. После утверждения областного бюджета на указанный период средства вышестоящих бюджетов будут уточнены, и, соответственно, значение показателей изменится.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Культура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сфере культуры и искусства городского округа Тольятти функционируют 16 муниципальных образовательных учреждений дополнительного образования детей, с общим контингентом обучающихся - 7075 человек. Педагогический состав учебных заведений обладает высоким профессионализмом и успешным опытом в формировании творческой элиты города, в учреждениях культуры трудится свыше 800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целях сохранения традиций и развития художественного образования, выявления и поддержки талантливой молодежи было проведено около 20 конкурсных, выставочных, фестивальных мероприятий городского и областного статусов для учащихся и преподавателей образовательных учреждений культуры. Участниками этих мероприятий в 2009 году стали более 6000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Одаренные дети Тольятти ежегодно активно участвуют в мероприятиях всероссийского и международного уровней. На Восьмых Дельфийских играх России «Молодость России» делегация Самарской губернии заняла почетное первое место, одержав заслуженную победу в 21 номинации. Среди участников: 13 учащихся и студентов тольяттинских образовательных </w:t>
      </w:r>
      <w:r w:rsidRPr="002C101F">
        <w:rPr>
          <w:rFonts w:ascii="Times New Roman" w:eastAsia="Times New Roman" w:hAnsi="Times New Roman" w:cs="Times New Roman"/>
          <w:color w:val="283959"/>
          <w:sz w:val="23"/>
          <w:szCs w:val="23"/>
          <w:lang w:eastAsia="ru-RU"/>
        </w:rPr>
        <w:lastRenderedPageBreak/>
        <w:t>учреждений культуры и искусства, которые получили семь наград, из них медалей золотых - 2, серебряных - 2, бронзовых - 1,</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br/>
        <w:t>дипломов - 2.</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Именной премией Губернатора Самарской области в номинации «Художественное творчество» были отмечены одаренные тольяттинские дети: П. Сандимирова (учащаяся Детской Хореографической школы им. М.М. Плисецкой), Е. Финтисова (скрипка, Лицей искусств), Д. Васильев (фортепиано, ДМШ № 4). Густешова Ирина (ДМШ №4) стала обладателем премии «Молодое дарование» Министерства культуры Самарской области. Финтисова Елена (ДШИ «Лицей искусств») получила статус стипендиата мэра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Трем коллективам муниципальных образовательных учреждений дополнительного образования детей присвоены звания: «Образцовый самодеятельный коллектив» вокальной студии «Мелодия», «Народная самодеятельная студия» народной студии «Радуга» (МОУДОД Детского Дома культуры), «Образцовый самодеятельный коллектив» хору мальчиков «Ладья» (МОУ ДОД Детской музыкальной школы №4). Победитель всероссийских и международных конкурсов «Хор мальчиков и юношей «Ладья» МОУ Детской музыкальной школы № 4 принял участие в Шестом Всероссийском национальном фестивале–конкурсе «Великая Россия» (г. Дагомыс), получил Гран-при в номинации «Хоровое пение» и диплом Министерства культуры РФ, а также в Международном фестивале молодежных симфонических оркестров и хоров «Еврооркестрия–2009» (Франция), где был отмечен дипломом участника фестиваля и получил приглашение к участию в фестивальной программе в следующем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Всего за прошедший учебный год учащимися муниципальных образовательных учреждений было получено более 1500 наград различного уровней.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городском округе Тольятти действуют 3 муниципальные библиотечные системы (МУК «Тольяттинская библиотечная корпорация», МУК «Объединение детских библиотек», МУК «Библиотека Автограда»), включающие 64 структурных подразделения. Высокий уровень информационно- библиотечного обслуживания жителей Тольятти и широкая социокультурная деятельность тольяттинских библиотек ежегодно отмечается на уровне Министерства культуры Самарской области.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Совокупный объем фондов по трём системам насчитывает 1924549 экземпляров, всего читателей 196500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Важными направлениями деятельности в области культуры остается улучшению условий для повышения многообразия и качества предоставляемых услуг, повышение эффективности деятельности учреждений культуры и искусства, а также организация новых форм досуга населения через развитие фестивального движения и проведение массовых праздничных мероприятий на территории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городском округе Тольятти действуют: 3 муниципальных профессиональных театра (МУК «Драматический театр «Колесо» им. Г.Б. Дроздова, Молодежный драматический театр и театр кукол «Пилигрим»), МУИ и К «Тольяттинская филармония», МУК Досуговый центр «Русич».</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Муниципальными театрами в 2009 году было представлено 848 спектаклей, активно обновлялся репертуар (было поставлено 18 новых спектаклей ). Театральными зрителями стали в 2009 году 109,3 тысяч человек (15,2 % от числа жителей). Состоялся фестиваль «Неделя «Театр – детям и юношеству», в котором приняли участие 18 профессиональных и любительских коллективов города, показано 73 спектакля для 21 тысячи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В Тольяттинской филармонии в 2009 году проведено 370 мероприятий (традиционный фестиваль «Тольяттинская Музыкальная осень», абонементные программы «Классика-детям», </w:t>
      </w:r>
      <w:r w:rsidRPr="002C101F">
        <w:rPr>
          <w:rFonts w:ascii="Times New Roman" w:eastAsia="Times New Roman" w:hAnsi="Times New Roman" w:cs="Times New Roman"/>
          <w:color w:val="283959"/>
          <w:sz w:val="23"/>
          <w:szCs w:val="23"/>
          <w:lang w:eastAsia="ru-RU"/>
        </w:rPr>
        <w:lastRenderedPageBreak/>
        <w:t>«Расскажи мне, музыка», «Джаз на все времена»; международный фестиваль «Джазовая провинция» и др.).</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Создано муниципальное автономное учреждение «Дворец культуры, искусства и творчества» на базе объекта, переданного ОАО «АВТОВАЗ», где будут сохраняться культурно-досуговая деятельность, развиваться творческие коллективы и проводиться концертно-просветительские мероприятия для широкого круга жителей.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Некоммерческими организациями в партнерстве с муниципалитетом реализованы яркие имиджевые проекты: фестиваль камерной музыки «Ирина Кандинская и «Персона» приглашают…» (КЦ «Персона»), международный музыкальный фестиваль «Классика над Волгой» (АНО «Молодежный симфонический оркестр Поволжья») и др.</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Оказывается содействие общественным организациям в проведении совместных мероприятий, поддерживается практика межотраслевого взаимодействия по проведению массовых городских и государственных праздников, таких как День молодежи, День памяти и скорби, День Матери, Международный День инвалида и др.</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в городском округе состоялось свыше 200 культурно-массовых мероприятий различного статуса, в том числе проведено 11 крупных общегородских праздничных мероприятий, с общим охватом населения 391613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Учитывая сложившиеся социально-экономические положение в условиях финансового кризиса, была активизирована работа по расширению числа благотворительных мероприятий для малообеспеченных категорий населения городского округа.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целях сохранения традиций местного народного художественного творчества и развития потенциала мастеров декоративно-прикладного творчества, в 2009 году были проведены фестивали, конкурсные художественные выставки, в которых приняло участие более трех тысяч самодеятельных мастеров.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На территории городского округа Тольятти находится 120 объектов культурного наследия (архитектурные памятники, ансамбли, мемориалы, скульптурные памятники и указатели улиц), в том числе регионального значения -25.</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начата работа по реализации межотраслевого плана мероприятий по предупреждению актов вандализма в отношении объектов культурного наследия (памятников истории и культуры) на 2009-2011 год. Оформлено 9 охранных обязательств на находящиеся в муниципальной собственности объекты культурного наследия (недвижимые памятники истории и культуры). С Правительством Самарской области достигнута договоренность о выделении в 2010 году субсидии из областного бюджета на благоустройство (проведение ремонтно-восстановительных работ) мемориальных сооружений и объектов, увековечивающих память погибших при защите Отечества.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целях оптимизации деятельности парков городского округа Тольятти и консолидации ресурсов, в 2009 году было учреждено муниципальное автономное учреждение «Парки города». Создаются условия для массового отдыха жителей в парках культуры и отдыха, проведено 20 массовых мероприятий, в которых приняло участие более 15 тысяч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Организация досуга жителей по месту жительства основывается на взаимодействии с администрациями районов, территориальными органами самоуправления (ТОС), департаментами и комитетами мэрии городского округа Тольятти и имеющейся сетью институтов социокультурной сферы, любительскими объединениями и творческими коллективами. За 2009 год проведено 96 мероприятий, в которых приняло участие около 35 тысяч жителей.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В городском округе Тольятти активно осуществляется концертно-выставочная деятельность с участием одаренных учащихся муниципальных образовательных учреждений. Число </w:t>
      </w:r>
      <w:r w:rsidRPr="002C101F">
        <w:rPr>
          <w:rFonts w:ascii="Times New Roman" w:eastAsia="Times New Roman" w:hAnsi="Times New Roman" w:cs="Times New Roman"/>
          <w:color w:val="283959"/>
          <w:sz w:val="23"/>
          <w:szCs w:val="23"/>
          <w:lang w:eastAsia="ru-RU"/>
        </w:rPr>
        <w:lastRenderedPageBreak/>
        <w:t>читателей – детей в муниципальных библиотеках составило в 2009 году около 55 тысяч человек. Концертами Тольяттинской Филармонии и спектаклями Молодежного драматического театра, театра кукол «Пилигрим» была охвачена детская аудитория свыше</w:t>
      </w:r>
      <w:r w:rsidRPr="002C101F">
        <w:rPr>
          <w:rFonts w:ascii="Times New Roman" w:eastAsia="Times New Roman" w:hAnsi="Times New Roman" w:cs="Times New Roman"/>
          <w:color w:val="283959"/>
          <w:sz w:val="23"/>
          <w:lang w:eastAsia="ru-RU"/>
        </w:rPr>
        <w:t> </w:t>
      </w:r>
      <w:r w:rsidRPr="002C101F">
        <w:rPr>
          <w:rFonts w:ascii="Times New Roman" w:eastAsia="Times New Roman" w:hAnsi="Times New Roman" w:cs="Times New Roman"/>
          <w:color w:val="283959"/>
          <w:sz w:val="23"/>
          <w:szCs w:val="23"/>
          <w:lang w:eastAsia="ru-RU"/>
        </w:rPr>
        <w:br/>
        <w:t>50 тысяч зрителей.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городе проживает и обучается свыше 100 тысяч человек в возрасте от 14 до 30 лет, среди которых талантливые музыканты, художники, дизайнеры, создающий позитивный имидж не только городу Тольятти, но и Самарской губернии. В Год Молодежи в Российской Федерации, при поддержке мэрии городского округа Тольятти были реализованы крупные имиджевые проекты с участием перспективных молодых музыкантов и творческих коллективов (Молодежный симфонический оркестр Поволжья, хор мальчиков и юношей «Ладья», фольклорный ансамбль «Таусень» и др.).</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рамках традиционного фестиваля народного творчества в 2009 году состоялся фестиваль «Тольятти-город молодежных ритмов», в котором приняли участие 58 молодежных творческих коллективов разных жанров и направлений.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целью развития современных форм культурно - досуговой деятельности и любительского творчества, в 2009 году были созданы новые клубные формирования молодежи на базе досугового центра «Русич» (агитбригада «Тинейджер», киноклуб «Потемкин», ВИА «Русичи», рок-клуб «Стикс»). Данным учреждением систематически проводится цикл мероприятий, способствующих профилактике наркомании в молодежной среде. Формы проведения таких мероприятий разнообразны: шоу-программы, молодежные акции на открытых площадках города («Нет наркотикам», «Молодежь – за добрые дела», «Молодежь за добро», «Молодежь за здоровый образ жизни» (профилактика СПИДа). Всего в 2009 году проведено 240 мероприятий с охватом более 115 тысяч человек.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 учетом интересов молодого зрителя формируется репертуар Молодежного драматического театра, в 2009 году зрителями театра стали 22 тысячи человек. Наряду с новыми спектаклями сохраняет актуальность спектакль – акция против наркомании «Разбивая стекло».</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городском округе Тольятти действуют 4 муниципальных музея (художественный музей, краеведческий музей, ГМК «Наследие», Тольяттинский музей истории градостроительства), которыми в 2009 году проведено 1309 мероприятий различной направленности (лекции, экскурсии, конкурсы, викторины, выставки). Число посетителей составило свыше 250 тысяч человек (35 % от общего числа жителей).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МОУ ВПО «Тольяттинский институт искусств» исполнилось 10 лет со дня создания, уровень качества предоставлемых услуг подтвержден свидетельством о государственной аккредитации. Осуществляются образовательные программы по исполнительскому и вокальному искусству, социокультурной деятельности и народному художественному творчеству (число учащихся колледжа составило 100 человек студентов высшего звена – 92 человека). В настоящее время это уникальное многоуровневое учреждение, получившее признание в Самарской губернии. На базе института успешно действует Научный Методический центр, обеспечивающий организационно-информационное сопровождение деятельности школ искусств, музыкальных и художественных школ и других учреждений дополнительного образования детей.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Тольятти - город многонациональный, в котором пристальное внимание уделяется проведению мероприятий, направленным на сохранение национального разнообразия, поддержку традиций и межкультурного сотрудничества.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Органы власти активно взаимодействуют с 23 национально-культурными центрами и автономиями.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lastRenderedPageBreak/>
        <w:t>Показатель № 60. «Доля основных фондов организаций муниципальной формы собственности, находящихся в стадии банкротства, в общей стоимости основных фондов организаций муниципальной формы собственности (на конец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по заявлению ФНС России в лице Межрайонной инспекции ФНС России № 2 по Самарской области в отношении Муниципального предприятия городского округа Тольятти «Тольяттинское пассажирское автотранспортное предприятие № 1» возбуждено производство по делу о несостоятельности (банкротстве).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Определением арбитражного суда Самарской области от 03.11.2009 г. в отношении данного предприятия введена процедура наблюдения.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Остаточная стоимость основных средств на 01.10.2009 г. составляет 37 138 тыс. 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2010 году продолжается процедура банкротства по МП городского округа Тольятти «ТП АТП-1».</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соответствии с данными территориального органа Федеральной службы государственной статистики по Самарской области полная учетная стоимость основных фондов всех организаций муниципальной формы собственности составляет 21 712 907 тыс.руб.</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61. «Доля кредиторской задолженности по оплате труда (включая начисления на оплату труда) муниципальных бюджетных учреждений».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По состоянию на 01.01.2010 года кредиторской задолженности по оплате труда (включая начисления на оплату труда) у муниципальных бюджетных учреждений городского округа Тольятти не имеется. В плановом периоде даже в случае низкого поступления доходной части бюджета в первую очередь будут производиться выплаты по оплате труда с начислениями. Таким образом, мы постараемся исключить возможность возникновения задолженности по этим расходам.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62 «Доля объектов капитального строительства, по которым не соблюдены нормативные или плановые сроки ввода в эксплуатацию, в общем количестве объектов капитального строительства»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2009 году доля объектов капитального строительства, по которым не соблюдены нормативные или плановые сроки ввода в эксплуатацию, в общем числе объектов капитального строительства, по застройщикам всех форм собственности возросла с 63% до 76%, с одной стороны, за счет снижения общего числа строящихся объектов, и с другой – в связи с отсутствием достаточных инвестиций для завершения строительства объектов. И данная ситуация распространится на последующие годы, поскольку причина у перечисленных факторов влияния на динамику показателя одна – кризисное состояние экономики, в том числе в строительной сфере.</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части объектов капитального строительства муниципальной формы собственности в 2009 году значение показателя улучшилось против 2008 года на 13,2 процентных пункта за счет ввода в эксплуатацию двух объектов и составило 71,4%. В 2009 году из 7-ми строившихся объектов не введены в эксплуатацию 5 объектов по причине резкого снижения объемов финансирования из бюджета городского округа Тольятти более, чем на 63% к первоначальному объему и полного отсутствия средств из бюджетов вышестоящих уровней.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2010 году ситуация с финансированием объектов еще более усугубилась (63% к уровню 2009 года практически при отсутствии финансирования из областного бюджета). По этой причине значение данного показателя ожидается на уровне 75 %.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63 «Утверждение бюджета на 3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В соответствии со ст. 56 Устава городского округа, а так же ст. 7 Положения о бюджетном процессе в городском округе проект бюджета составляется и утверждается сроком на три года (очередной финансовый год и плановый период).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Изменения, регламентирующие утверждение бюджета городского округа сроком на три года, были внесены в указанные правовые акты в 2007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64 «Среднегодовая численность постоянного населения».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Среднегодовая численность по итогам 2009г. составила 721 тыс. чел., что на 0,2% выше уровня 2008г.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Прогнозируется, что среднегодовая численность населения округа будет относительно стабильной с небольшими колебаниями в сторону увеличения до 2011 года, затем число жителей округа будет постепенно сокращаться. В 2012 году данный показатель составит 721,3 тыс. чел., что практически на уровне 2009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65 «Общий объем расходов бюджета муниципального образования»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При представлении информации о расходах бюджета муниципального образования за 2008-2009г.г. использовались данные о кассовых расходах из отчетов об исполнении бюджета муниципального образования за соответствующий год, за 2010-2012г.г. - плановые показатели бюджета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условиях сложившейся в 2009 году кризисной ситуации расходная часть бюджета городского округа исполнялась исходя из следующих принципов: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1) поквартальное открытие лимитов бюджетных обязательств осуществлялось с учетом анализа поступлений доходной части бюджета;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 применялся механизм исполнения бюджета с учетом приоритетности групп расходов;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3) ограничивалось перераспределение бюджетных ассигнований между расходами бюджетной классификации;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4) экономия от размещения муниципального заказа направлялась на сокращение расходов бюджета с последующим контролем;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5) кассовый план по расходам на текущий месяц изменялся в пределах доведенного кассового плана, исходя из приоритетности расходов;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6) проведена оптимизация сети муниципальных учреждений;</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7) проведены ресурсосберегающие мероприятия в подведомственных организациях с целью повышения эффективности использования средств (установка счетчиков);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8) проводился контроль по недопущению образования просроченной кредиторской задолженности.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Для реализации данных мер были разработаны и приняты следующие нормативно-правовые акты:</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1.            Постановление мэрии городского округа Тольятти от 10.03.09 г. № 482-п/1 «О внесении изменений в постановление мэра городского округа Тольятти от 01.02.08 г. № 320-1/п «Об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средств бюджета городского округа Тольятти.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2.            Постановления мэрии городского округа Тольятти от 03.04.09 № 732-п/1, от 29.05.09 № 1241-п/1, от 27.07.09 № 1676-п/1 «О мерах по исполнению бюджета городского округа Тольятти в 2009 году».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lastRenderedPageBreak/>
        <w:t>3.            Постановление мэрии городского округа Тольятти от 21.09.09 № 2110-п/1 «Об утверждении плана антикризисных мер в городском округе Тольятти на 2009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4.            Решение Думы городского округа Тольятти от 11.11.09 № 161 «О внесении изменений в Положение о муниципальном заказе городского округа Тольятти, утверждённое решением Думы городского округа Тольятти от 13.05.09 № 59».</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66 «Наличие площадок».</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Показатели эффективности благоустройства территорий за 2009 год остались на уровне 2008 года в связи с секвестированием бюджета. Планируется повышение показателей эффективности за счёт выполнения мероприятий благоустройства внутриквартальных территорий в 2010-2012 гг.</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67. Доля улиц, обеспеченных действующим уличным освещением.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Показатель 2009 года остался на уровне 2008 г. (97,5%). В 2010-2012 гг. значительных изменений показателя не планируется.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 Показатель № 68 «Обеспеченность владельцев личного автотранспорта машиноместами на стоянках и в гаражах».</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Расчет значений данного показателя произведен с использованием имеющихся данных о количестве машиномест в гаражно-строительных и эксплуатационных кооперативах - 103737 ед., индивидуальных гаражах - 5344 ед., в том числе на участках индивидуальных жилых домов – 3000 ед., а также фактическом и планируемом количестве условных машиномест на ночных и круглосуточных стоянках городского округа Тольятти, исходя из установленного законодательством РФ норматива 11,5 кв.м на 1 машину:</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69. «Доля многоэтажных зданий с неудовлетворительным состоянием фасадов»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Данный показатель поступательно снижается, в связи с постоянным осуществлением контроля за техническим состоянием жилищного фонда, возможностью упрощённого (визуального) обследования, а так же выполнением программных мероприятий, финансируемых из бюджетов всех уровней. В 2010 году ожидается уменьшение доли многоэтажных зданий с неудовлетворительным состоянием фасадов на 2% к уровню 2009 года в связи с направлением средств Фонда содействия реформированию ЖКХ на проведение капитального ремонта жилищного фонда.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70. Уровень обеспеченности территории муниципального образования объектами общего пользования, благоустроенными зелеными насаждениями (парками, лесопарками, садами, скверами, бульварами)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На 1 жителя городского округа Тольятти приходится зелёных насаждений: в 2008 году – 51 кв.м, в 2009 – 52 кв.м,</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r w:rsidRPr="002C101F">
        <w:rPr>
          <w:rFonts w:ascii="Times New Roman" w:eastAsia="Times New Roman" w:hAnsi="Times New Roman" w:cs="Times New Roman"/>
          <w:b/>
          <w:bCs/>
          <w:color w:val="283959"/>
          <w:sz w:val="23"/>
          <w:lang w:eastAsia="ru-RU"/>
        </w:rPr>
        <w:t>Показатель № 74. «Объем мусора на несанкционированных свалках: ликвидированного за отчётный период; вновь зарегистрированного (выявленного) за отчётный период».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Инвентаризация несанкционированных мест размещения отходов на территории городского округа Тольятти проводилась в 2007 году в соответствии с Постановлением мэра города от 19.12.2006 года № 11666-1/п. По итогам инвентаризации в 2007 году было выявлено 587 003,6 м</w:t>
      </w:r>
      <w:r w:rsidRPr="002C101F">
        <w:rPr>
          <w:rFonts w:ascii="Times New Roman" w:eastAsia="Times New Roman" w:hAnsi="Times New Roman" w:cs="Times New Roman"/>
          <w:color w:val="283959"/>
          <w:sz w:val="23"/>
          <w:szCs w:val="23"/>
          <w:vertAlign w:val="superscript"/>
          <w:lang w:eastAsia="ru-RU"/>
        </w:rPr>
        <w:t>3</w:t>
      </w:r>
      <w:r w:rsidRPr="002C101F">
        <w:rPr>
          <w:rFonts w:ascii="Times New Roman" w:eastAsia="Times New Roman" w:hAnsi="Times New Roman" w:cs="Times New Roman"/>
          <w:color w:val="283959"/>
          <w:sz w:val="23"/>
          <w:vertAlign w:val="superscript"/>
          <w:lang w:eastAsia="ru-RU"/>
        </w:rPr>
        <w:t> </w:t>
      </w:r>
      <w:r w:rsidRPr="002C101F">
        <w:rPr>
          <w:rFonts w:ascii="Times New Roman" w:eastAsia="Times New Roman" w:hAnsi="Times New Roman" w:cs="Times New Roman"/>
          <w:color w:val="283959"/>
          <w:sz w:val="23"/>
          <w:szCs w:val="23"/>
          <w:lang w:eastAsia="ru-RU"/>
        </w:rPr>
        <w:t>отходов производства и потребления. </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xml:space="preserve">В соответствии с постановлением мэрии городского округа Тольятти от 19.01.2010г. № 75-п/1 «О проведении инвентаризации несанкционированных мест размещения отходов </w:t>
      </w:r>
      <w:r w:rsidRPr="002C101F">
        <w:rPr>
          <w:rFonts w:ascii="Times New Roman" w:eastAsia="Times New Roman" w:hAnsi="Times New Roman" w:cs="Times New Roman"/>
          <w:color w:val="283959"/>
          <w:sz w:val="23"/>
          <w:szCs w:val="23"/>
          <w:lang w:eastAsia="ru-RU"/>
        </w:rPr>
        <w:lastRenderedPageBreak/>
        <w:t>производства и потребления и о мерах по их ликвидации» в 2010 году на территории городского округа Тольятти будет проводиться инвентаризация несанкционированных мест размещения отходов. Срок окончания проведения инвентаризации - 14.06.2010г. В ходе проведения инвентаризации могут быть выявлены дополнительные места несанкционированного размещения отходов, и их объем может составить около 35000 м</w:t>
      </w:r>
      <w:r w:rsidRPr="002C101F">
        <w:rPr>
          <w:rFonts w:ascii="Times New Roman" w:eastAsia="Times New Roman" w:hAnsi="Times New Roman" w:cs="Times New Roman"/>
          <w:color w:val="283959"/>
          <w:sz w:val="23"/>
          <w:szCs w:val="23"/>
          <w:vertAlign w:val="superscript"/>
          <w:lang w:eastAsia="ru-RU"/>
        </w:rPr>
        <w:t>3</w:t>
      </w:r>
      <w:r w:rsidRPr="002C101F">
        <w:rPr>
          <w:rFonts w:ascii="Times New Roman" w:eastAsia="Times New Roman" w:hAnsi="Times New Roman" w:cs="Times New Roman"/>
          <w:color w:val="283959"/>
          <w:sz w:val="23"/>
          <w:szCs w:val="23"/>
          <w:lang w:eastAsia="ru-RU"/>
        </w:rPr>
        <w:t>.Данные будут уточнены по итогам инвентаризации.    Периодичность проведения инвентаризации – 1 раз в 3 года.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76 «Доля извлечения вторичного сырья из общего объема образующихся на территории муниципального образования бытовых и промышленных отходов»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По данному показателю процент вторичного использования рассчитывался из общих объемов отходов, образующихся на промышленных предприятиях. Показатели за 2008-2009г.г. рассчитаны по данным государственной статистической отчетности. Снижение показателя в 2009 году на 24,5% обусловлено сокращением объемов промышленного производства.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77. Обеспеченность оборудованными местами временного хранения отходов на территории муниципального образования (объём вывозимого мусора на один контейнер в год)</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Общее количество ТБО, образуемого в жилом фонде городского округа Тольятти на 2010г. из расчета 1.67м3 на 1 человека в год составляет 1 147 748 м³</w:t>
      </w:r>
      <w:r w:rsidRPr="002C101F">
        <w:rPr>
          <w:rFonts w:ascii="Times New Roman" w:eastAsia="Times New Roman" w:hAnsi="Times New Roman" w:cs="Times New Roman"/>
          <w:b/>
          <w:bCs/>
          <w:color w:val="283959"/>
          <w:sz w:val="23"/>
          <w:lang w:eastAsia="ru-RU"/>
        </w:rPr>
        <w:t>, </w:t>
      </w:r>
      <w:r w:rsidRPr="002C101F">
        <w:rPr>
          <w:rFonts w:ascii="Times New Roman" w:eastAsia="Times New Roman" w:hAnsi="Times New Roman" w:cs="Times New Roman"/>
          <w:color w:val="283959"/>
          <w:sz w:val="23"/>
          <w:szCs w:val="23"/>
          <w:lang w:eastAsia="ru-RU"/>
        </w:rPr>
        <w:t>в том числе от Центрального и Комсомольского районов около 360,0 т.м</w:t>
      </w:r>
      <w:r w:rsidRPr="002C101F">
        <w:rPr>
          <w:rFonts w:ascii="Times New Roman" w:eastAsia="Times New Roman" w:hAnsi="Times New Roman" w:cs="Times New Roman"/>
          <w:color w:val="283959"/>
          <w:sz w:val="23"/>
          <w:szCs w:val="23"/>
          <w:vertAlign w:val="superscript"/>
          <w:lang w:eastAsia="ru-RU"/>
        </w:rPr>
        <w:t>3</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Вывоз ТБО осуществляется:</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 Автозаводский район – бесконтейнерным методом (из мусоропроводов многоэтажных жилых домов);</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 Центральный и Комсомольский районы - с мест временного хранения отходов, оборудованных контейнерными площадками.</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контейнерных площадок и количество контейнеров в Центральном и Комсомольском районах городского округа Тольятти на 01.01.2010г составляет: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контейнерных площадок – 270 шт: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количество контейнеров – 1311 шт.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Один стандартный контейнер V- 0,75м</w:t>
      </w:r>
      <w:r w:rsidRPr="002C101F">
        <w:rPr>
          <w:rFonts w:ascii="Times New Roman" w:eastAsia="Times New Roman" w:hAnsi="Times New Roman" w:cs="Times New Roman"/>
          <w:color w:val="283959"/>
          <w:sz w:val="23"/>
          <w:szCs w:val="23"/>
          <w:vertAlign w:val="superscript"/>
          <w:lang w:eastAsia="ru-RU"/>
        </w:rPr>
        <w:t>3</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b/>
          <w:bCs/>
          <w:color w:val="283959"/>
          <w:sz w:val="23"/>
          <w:lang w:eastAsia="ru-RU"/>
        </w:rPr>
        <w:t>Показатель № 78 «Доля мест временного хранения отходов, в отношении которых произведен: капитальный ремонт, текущий ремонт».</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В связи с секвестированием бюджета работы по капитальному и текущему ремонту в 2009 году не проводились. В 2010-2012 гг. планируется увеличение данного показателя за счёт средств полученной экономии после проведения аукционов и привлечения средств городского бюджета.</w:t>
      </w:r>
    </w:p>
    <w:p w:rsidR="002C101F" w:rsidRPr="002C101F" w:rsidRDefault="002C101F" w:rsidP="002C101F">
      <w:pPr>
        <w:spacing w:before="150" w:after="0" w:line="270" w:lineRule="atLeast"/>
        <w:rPr>
          <w:rFonts w:ascii="Times New Roman" w:eastAsia="Times New Roman" w:hAnsi="Times New Roman" w:cs="Times New Roman"/>
          <w:color w:val="283959"/>
          <w:sz w:val="23"/>
          <w:szCs w:val="23"/>
          <w:lang w:eastAsia="ru-RU"/>
        </w:rPr>
      </w:pPr>
      <w:r w:rsidRPr="002C101F">
        <w:rPr>
          <w:rFonts w:ascii="Times New Roman" w:eastAsia="Times New Roman" w:hAnsi="Times New Roman" w:cs="Times New Roman"/>
          <w:color w:val="283959"/>
          <w:sz w:val="23"/>
          <w:szCs w:val="23"/>
          <w:lang w:eastAsia="ru-RU"/>
        </w:rPr>
        <w:t> </w:t>
      </w:r>
    </w:p>
    <w:p w:rsidR="00860202" w:rsidRDefault="00860202"/>
    <w:sectPr w:rsidR="00860202" w:rsidSect="00860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101F"/>
    <w:rsid w:val="00000821"/>
    <w:rsid w:val="000058CE"/>
    <w:rsid w:val="000149F5"/>
    <w:rsid w:val="00017510"/>
    <w:rsid w:val="000211D8"/>
    <w:rsid w:val="00024D09"/>
    <w:rsid w:val="00026CD9"/>
    <w:rsid w:val="00030DEB"/>
    <w:rsid w:val="00032D7A"/>
    <w:rsid w:val="00032D8B"/>
    <w:rsid w:val="00034BAA"/>
    <w:rsid w:val="00044E84"/>
    <w:rsid w:val="000461DC"/>
    <w:rsid w:val="00046C1A"/>
    <w:rsid w:val="0005385E"/>
    <w:rsid w:val="00054C76"/>
    <w:rsid w:val="00061182"/>
    <w:rsid w:val="00062574"/>
    <w:rsid w:val="00063C61"/>
    <w:rsid w:val="00065C62"/>
    <w:rsid w:val="00066344"/>
    <w:rsid w:val="00070D6E"/>
    <w:rsid w:val="000722C1"/>
    <w:rsid w:val="00073E53"/>
    <w:rsid w:val="000748ED"/>
    <w:rsid w:val="00076171"/>
    <w:rsid w:val="0007636C"/>
    <w:rsid w:val="00087040"/>
    <w:rsid w:val="00091770"/>
    <w:rsid w:val="00092EDC"/>
    <w:rsid w:val="00094B5D"/>
    <w:rsid w:val="00096078"/>
    <w:rsid w:val="00097DBA"/>
    <w:rsid w:val="000A78C8"/>
    <w:rsid w:val="000B132C"/>
    <w:rsid w:val="000B302E"/>
    <w:rsid w:val="000B40FB"/>
    <w:rsid w:val="000B4585"/>
    <w:rsid w:val="000B58E1"/>
    <w:rsid w:val="000B638D"/>
    <w:rsid w:val="000B6C61"/>
    <w:rsid w:val="000C6D7B"/>
    <w:rsid w:val="000D003A"/>
    <w:rsid w:val="000D32C5"/>
    <w:rsid w:val="000D4596"/>
    <w:rsid w:val="000E172E"/>
    <w:rsid w:val="000E525A"/>
    <w:rsid w:val="000E78BD"/>
    <w:rsid w:val="000E7CCA"/>
    <w:rsid w:val="000F0BC7"/>
    <w:rsid w:val="000F1182"/>
    <w:rsid w:val="000F2B55"/>
    <w:rsid w:val="000F2C3B"/>
    <w:rsid w:val="000F7554"/>
    <w:rsid w:val="001003C2"/>
    <w:rsid w:val="00100A67"/>
    <w:rsid w:val="00102298"/>
    <w:rsid w:val="00106247"/>
    <w:rsid w:val="001103AD"/>
    <w:rsid w:val="00112B67"/>
    <w:rsid w:val="00113845"/>
    <w:rsid w:val="00127735"/>
    <w:rsid w:val="00127927"/>
    <w:rsid w:val="0013382A"/>
    <w:rsid w:val="00133D1B"/>
    <w:rsid w:val="00136960"/>
    <w:rsid w:val="00137926"/>
    <w:rsid w:val="00137DE5"/>
    <w:rsid w:val="001420AF"/>
    <w:rsid w:val="001436AC"/>
    <w:rsid w:val="00155886"/>
    <w:rsid w:val="00157ABC"/>
    <w:rsid w:val="001617FB"/>
    <w:rsid w:val="0016203E"/>
    <w:rsid w:val="00165FC0"/>
    <w:rsid w:val="00165FF7"/>
    <w:rsid w:val="00166690"/>
    <w:rsid w:val="00170FE3"/>
    <w:rsid w:val="0017222E"/>
    <w:rsid w:val="00175D2B"/>
    <w:rsid w:val="001807E1"/>
    <w:rsid w:val="00187B03"/>
    <w:rsid w:val="001915E3"/>
    <w:rsid w:val="00194354"/>
    <w:rsid w:val="00194EB9"/>
    <w:rsid w:val="001A0EE5"/>
    <w:rsid w:val="001A28C4"/>
    <w:rsid w:val="001B0138"/>
    <w:rsid w:val="001B0229"/>
    <w:rsid w:val="001B1D9E"/>
    <w:rsid w:val="001B4E9B"/>
    <w:rsid w:val="001B63B9"/>
    <w:rsid w:val="001B6F13"/>
    <w:rsid w:val="001C2F56"/>
    <w:rsid w:val="001C3AEF"/>
    <w:rsid w:val="001C6A61"/>
    <w:rsid w:val="001D2F59"/>
    <w:rsid w:val="001E0A81"/>
    <w:rsid w:val="001E2A2F"/>
    <w:rsid w:val="001F7D2A"/>
    <w:rsid w:val="00201102"/>
    <w:rsid w:val="0020199F"/>
    <w:rsid w:val="00203790"/>
    <w:rsid w:val="002112D5"/>
    <w:rsid w:val="0021156B"/>
    <w:rsid w:val="002116FD"/>
    <w:rsid w:val="00215B3A"/>
    <w:rsid w:val="00225074"/>
    <w:rsid w:val="002306E5"/>
    <w:rsid w:val="00233C56"/>
    <w:rsid w:val="00241EA6"/>
    <w:rsid w:val="002443FE"/>
    <w:rsid w:val="00247532"/>
    <w:rsid w:val="00253024"/>
    <w:rsid w:val="002556AE"/>
    <w:rsid w:val="0025581C"/>
    <w:rsid w:val="002604E3"/>
    <w:rsid w:val="00263356"/>
    <w:rsid w:val="00263C66"/>
    <w:rsid w:val="00271AE8"/>
    <w:rsid w:val="002720DF"/>
    <w:rsid w:val="00274E22"/>
    <w:rsid w:val="002752A3"/>
    <w:rsid w:val="002807DD"/>
    <w:rsid w:val="00282F4B"/>
    <w:rsid w:val="002835D9"/>
    <w:rsid w:val="0028486A"/>
    <w:rsid w:val="0028573B"/>
    <w:rsid w:val="00286463"/>
    <w:rsid w:val="00287158"/>
    <w:rsid w:val="00287D87"/>
    <w:rsid w:val="00290236"/>
    <w:rsid w:val="0029035C"/>
    <w:rsid w:val="00291B5E"/>
    <w:rsid w:val="00292859"/>
    <w:rsid w:val="00293641"/>
    <w:rsid w:val="002954A7"/>
    <w:rsid w:val="00296F72"/>
    <w:rsid w:val="002978E8"/>
    <w:rsid w:val="00297D9E"/>
    <w:rsid w:val="002A5D9A"/>
    <w:rsid w:val="002A76AA"/>
    <w:rsid w:val="002B143D"/>
    <w:rsid w:val="002B373A"/>
    <w:rsid w:val="002B5D51"/>
    <w:rsid w:val="002C101F"/>
    <w:rsid w:val="002C1975"/>
    <w:rsid w:val="002C22CB"/>
    <w:rsid w:val="002C2921"/>
    <w:rsid w:val="002C3A3A"/>
    <w:rsid w:val="002C540B"/>
    <w:rsid w:val="002C5AA5"/>
    <w:rsid w:val="002C6E12"/>
    <w:rsid w:val="002C6EBB"/>
    <w:rsid w:val="002D02C0"/>
    <w:rsid w:val="002D6291"/>
    <w:rsid w:val="002E0D35"/>
    <w:rsid w:val="002E2E56"/>
    <w:rsid w:val="002E3C9F"/>
    <w:rsid w:val="002E794E"/>
    <w:rsid w:val="002F404E"/>
    <w:rsid w:val="002F67C2"/>
    <w:rsid w:val="00301229"/>
    <w:rsid w:val="0030329B"/>
    <w:rsid w:val="00304502"/>
    <w:rsid w:val="00304C15"/>
    <w:rsid w:val="00307ACC"/>
    <w:rsid w:val="00310AB2"/>
    <w:rsid w:val="00310E4D"/>
    <w:rsid w:val="00311132"/>
    <w:rsid w:val="003118F6"/>
    <w:rsid w:val="00311D0F"/>
    <w:rsid w:val="00313B57"/>
    <w:rsid w:val="003141EA"/>
    <w:rsid w:val="003162B2"/>
    <w:rsid w:val="00333A2B"/>
    <w:rsid w:val="00334EB3"/>
    <w:rsid w:val="0033536D"/>
    <w:rsid w:val="00335560"/>
    <w:rsid w:val="00336900"/>
    <w:rsid w:val="00336F67"/>
    <w:rsid w:val="003370EE"/>
    <w:rsid w:val="00340543"/>
    <w:rsid w:val="00345AE9"/>
    <w:rsid w:val="00346CC0"/>
    <w:rsid w:val="0034740F"/>
    <w:rsid w:val="00352D54"/>
    <w:rsid w:val="0035372E"/>
    <w:rsid w:val="00354CB0"/>
    <w:rsid w:val="003554D6"/>
    <w:rsid w:val="00355DB7"/>
    <w:rsid w:val="003577C6"/>
    <w:rsid w:val="003633DE"/>
    <w:rsid w:val="003733B7"/>
    <w:rsid w:val="00375DF0"/>
    <w:rsid w:val="00382EB9"/>
    <w:rsid w:val="00383C7A"/>
    <w:rsid w:val="00384862"/>
    <w:rsid w:val="00385CC6"/>
    <w:rsid w:val="00396593"/>
    <w:rsid w:val="003A5CED"/>
    <w:rsid w:val="003C09CA"/>
    <w:rsid w:val="003C1376"/>
    <w:rsid w:val="003C279F"/>
    <w:rsid w:val="003C3B16"/>
    <w:rsid w:val="003C66AD"/>
    <w:rsid w:val="003D1AFA"/>
    <w:rsid w:val="003D20C8"/>
    <w:rsid w:val="003D26D8"/>
    <w:rsid w:val="003D2F4D"/>
    <w:rsid w:val="003D75EB"/>
    <w:rsid w:val="003D775C"/>
    <w:rsid w:val="003D7B32"/>
    <w:rsid w:val="003E0F03"/>
    <w:rsid w:val="003E3D01"/>
    <w:rsid w:val="003E7F5D"/>
    <w:rsid w:val="003F1DBE"/>
    <w:rsid w:val="003F3ECC"/>
    <w:rsid w:val="00401AD5"/>
    <w:rsid w:val="00402374"/>
    <w:rsid w:val="00403294"/>
    <w:rsid w:val="00403BDB"/>
    <w:rsid w:val="00407DFE"/>
    <w:rsid w:val="0041222C"/>
    <w:rsid w:val="00414E74"/>
    <w:rsid w:val="00416147"/>
    <w:rsid w:val="00423A68"/>
    <w:rsid w:val="004241B8"/>
    <w:rsid w:val="00425307"/>
    <w:rsid w:val="00426917"/>
    <w:rsid w:val="00435B90"/>
    <w:rsid w:val="00436AEC"/>
    <w:rsid w:val="00437EC4"/>
    <w:rsid w:val="00444D46"/>
    <w:rsid w:val="00446FE4"/>
    <w:rsid w:val="00451F81"/>
    <w:rsid w:val="00452083"/>
    <w:rsid w:val="004527A4"/>
    <w:rsid w:val="00453E2E"/>
    <w:rsid w:val="00456C2F"/>
    <w:rsid w:val="004608D5"/>
    <w:rsid w:val="00461AA5"/>
    <w:rsid w:val="0046368A"/>
    <w:rsid w:val="00465CB4"/>
    <w:rsid w:val="00467AAA"/>
    <w:rsid w:val="004740E6"/>
    <w:rsid w:val="004811A4"/>
    <w:rsid w:val="0048289D"/>
    <w:rsid w:val="00484DD7"/>
    <w:rsid w:val="00485289"/>
    <w:rsid w:val="00485A7B"/>
    <w:rsid w:val="00497664"/>
    <w:rsid w:val="004A4CDE"/>
    <w:rsid w:val="004B071E"/>
    <w:rsid w:val="004B371B"/>
    <w:rsid w:val="004B4C95"/>
    <w:rsid w:val="004B598A"/>
    <w:rsid w:val="004B60C4"/>
    <w:rsid w:val="004C4F11"/>
    <w:rsid w:val="004C59C2"/>
    <w:rsid w:val="004C59D4"/>
    <w:rsid w:val="004D5B82"/>
    <w:rsid w:val="004E3564"/>
    <w:rsid w:val="004E4E2D"/>
    <w:rsid w:val="004F0AA8"/>
    <w:rsid w:val="004F35BB"/>
    <w:rsid w:val="004F57AC"/>
    <w:rsid w:val="004F68E6"/>
    <w:rsid w:val="004F7BAA"/>
    <w:rsid w:val="00501A80"/>
    <w:rsid w:val="0050300D"/>
    <w:rsid w:val="005071A9"/>
    <w:rsid w:val="00510F9E"/>
    <w:rsid w:val="00511E02"/>
    <w:rsid w:val="00517187"/>
    <w:rsid w:val="00517556"/>
    <w:rsid w:val="0051764C"/>
    <w:rsid w:val="00517A1E"/>
    <w:rsid w:val="005220F8"/>
    <w:rsid w:val="00523FF4"/>
    <w:rsid w:val="00524225"/>
    <w:rsid w:val="00524507"/>
    <w:rsid w:val="0053020E"/>
    <w:rsid w:val="0053025D"/>
    <w:rsid w:val="00530276"/>
    <w:rsid w:val="00531A47"/>
    <w:rsid w:val="005332AA"/>
    <w:rsid w:val="00533A28"/>
    <w:rsid w:val="00535864"/>
    <w:rsid w:val="00540EF7"/>
    <w:rsid w:val="0054120F"/>
    <w:rsid w:val="00541243"/>
    <w:rsid w:val="00541C5B"/>
    <w:rsid w:val="005426F7"/>
    <w:rsid w:val="00551A76"/>
    <w:rsid w:val="00553665"/>
    <w:rsid w:val="005544B3"/>
    <w:rsid w:val="0055596A"/>
    <w:rsid w:val="00561C2A"/>
    <w:rsid w:val="00565D92"/>
    <w:rsid w:val="005725E1"/>
    <w:rsid w:val="00572937"/>
    <w:rsid w:val="00573913"/>
    <w:rsid w:val="00573F3F"/>
    <w:rsid w:val="0057525D"/>
    <w:rsid w:val="005777F4"/>
    <w:rsid w:val="005824CB"/>
    <w:rsid w:val="0058716A"/>
    <w:rsid w:val="005901AE"/>
    <w:rsid w:val="00590313"/>
    <w:rsid w:val="00594EF8"/>
    <w:rsid w:val="005A133B"/>
    <w:rsid w:val="005A5A46"/>
    <w:rsid w:val="005A69CF"/>
    <w:rsid w:val="005A6DA1"/>
    <w:rsid w:val="005B2562"/>
    <w:rsid w:val="005B38E2"/>
    <w:rsid w:val="005B6299"/>
    <w:rsid w:val="005B6740"/>
    <w:rsid w:val="005C010D"/>
    <w:rsid w:val="005D07E6"/>
    <w:rsid w:val="005D09F0"/>
    <w:rsid w:val="005D3196"/>
    <w:rsid w:val="005D4367"/>
    <w:rsid w:val="005D7E21"/>
    <w:rsid w:val="005D7F72"/>
    <w:rsid w:val="005F0D78"/>
    <w:rsid w:val="005F1C4C"/>
    <w:rsid w:val="005F2E3F"/>
    <w:rsid w:val="005F5113"/>
    <w:rsid w:val="00603313"/>
    <w:rsid w:val="00604CBA"/>
    <w:rsid w:val="006073FA"/>
    <w:rsid w:val="006112B4"/>
    <w:rsid w:val="00612600"/>
    <w:rsid w:val="006140E5"/>
    <w:rsid w:val="00616D8B"/>
    <w:rsid w:val="006209E4"/>
    <w:rsid w:val="00623D62"/>
    <w:rsid w:val="00624947"/>
    <w:rsid w:val="00626BF7"/>
    <w:rsid w:val="00626ECC"/>
    <w:rsid w:val="00627E5A"/>
    <w:rsid w:val="00631059"/>
    <w:rsid w:val="00632FCC"/>
    <w:rsid w:val="00634C27"/>
    <w:rsid w:val="00640EFB"/>
    <w:rsid w:val="00643484"/>
    <w:rsid w:val="006457ED"/>
    <w:rsid w:val="0065123C"/>
    <w:rsid w:val="00651A04"/>
    <w:rsid w:val="006539D3"/>
    <w:rsid w:val="00654A67"/>
    <w:rsid w:val="0066080D"/>
    <w:rsid w:val="00660A4E"/>
    <w:rsid w:val="00661C8F"/>
    <w:rsid w:val="006657C4"/>
    <w:rsid w:val="00666043"/>
    <w:rsid w:val="00672ED6"/>
    <w:rsid w:val="00690CF9"/>
    <w:rsid w:val="00692149"/>
    <w:rsid w:val="00696AD5"/>
    <w:rsid w:val="006A228B"/>
    <w:rsid w:val="006A22E8"/>
    <w:rsid w:val="006A6CF4"/>
    <w:rsid w:val="006A7033"/>
    <w:rsid w:val="006B2B8C"/>
    <w:rsid w:val="006B59C7"/>
    <w:rsid w:val="006C568E"/>
    <w:rsid w:val="006C7191"/>
    <w:rsid w:val="006C72EC"/>
    <w:rsid w:val="006C73C8"/>
    <w:rsid w:val="006C7644"/>
    <w:rsid w:val="006D0501"/>
    <w:rsid w:val="006D077B"/>
    <w:rsid w:val="006D676F"/>
    <w:rsid w:val="006D70ED"/>
    <w:rsid w:val="006E0591"/>
    <w:rsid w:val="006E24D6"/>
    <w:rsid w:val="006E7559"/>
    <w:rsid w:val="006F6743"/>
    <w:rsid w:val="00702328"/>
    <w:rsid w:val="00702794"/>
    <w:rsid w:val="00703E47"/>
    <w:rsid w:val="007065DB"/>
    <w:rsid w:val="00710E21"/>
    <w:rsid w:val="007113D2"/>
    <w:rsid w:val="0071447D"/>
    <w:rsid w:val="00714A4D"/>
    <w:rsid w:val="00714EA4"/>
    <w:rsid w:val="00716A37"/>
    <w:rsid w:val="007233B9"/>
    <w:rsid w:val="0072656F"/>
    <w:rsid w:val="00727C56"/>
    <w:rsid w:val="00730456"/>
    <w:rsid w:val="007305E7"/>
    <w:rsid w:val="007322B2"/>
    <w:rsid w:val="007442D7"/>
    <w:rsid w:val="00745283"/>
    <w:rsid w:val="00756F29"/>
    <w:rsid w:val="00757E26"/>
    <w:rsid w:val="0076033C"/>
    <w:rsid w:val="00761DE2"/>
    <w:rsid w:val="007648A2"/>
    <w:rsid w:val="00765556"/>
    <w:rsid w:val="0076568A"/>
    <w:rsid w:val="0076626A"/>
    <w:rsid w:val="007675DB"/>
    <w:rsid w:val="007705DB"/>
    <w:rsid w:val="00770F07"/>
    <w:rsid w:val="007754AE"/>
    <w:rsid w:val="00781342"/>
    <w:rsid w:val="00782DA3"/>
    <w:rsid w:val="00784327"/>
    <w:rsid w:val="00785019"/>
    <w:rsid w:val="00787487"/>
    <w:rsid w:val="00790367"/>
    <w:rsid w:val="00791A82"/>
    <w:rsid w:val="00794042"/>
    <w:rsid w:val="00795FCA"/>
    <w:rsid w:val="00796F2E"/>
    <w:rsid w:val="00797471"/>
    <w:rsid w:val="00797AAE"/>
    <w:rsid w:val="007A154E"/>
    <w:rsid w:val="007A405F"/>
    <w:rsid w:val="007A5BC6"/>
    <w:rsid w:val="007A6228"/>
    <w:rsid w:val="007A6901"/>
    <w:rsid w:val="007A77A0"/>
    <w:rsid w:val="007B4882"/>
    <w:rsid w:val="007B5FA3"/>
    <w:rsid w:val="007C18F5"/>
    <w:rsid w:val="007C1D89"/>
    <w:rsid w:val="007C7471"/>
    <w:rsid w:val="007C7E62"/>
    <w:rsid w:val="007D0BFB"/>
    <w:rsid w:val="007D491B"/>
    <w:rsid w:val="007D4E66"/>
    <w:rsid w:val="007D75A1"/>
    <w:rsid w:val="007E0E23"/>
    <w:rsid w:val="007E1E93"/>
    <w:rsid w:val="007E232E"/>
    <w:rsid w:val="007E3685"/>
    <w:rsid w:val="007E4428"/>
    <w:rsid w:val="007E7A72"/>
    <w:rsid w:val="007F181F"/>
    <w:rsid w:val="007F3700"/>
    <w:rsid w:val="007F3B65"/>
    <w:rsid w:val="007F3BBB"/>
    <w:rsid w:val="007F4DD1"/>
    <w:rsid w:val="00806E41"/>
    <w:rsid w:val="00810294"/>
    <w:rsid w:val="00810500"/>
    <w:rsid w:val="008135ED"/>
    <w:rsid w:val="00815098"/>
    <w:rsid w:val="00816477"/>
    <w:rsid w:val="008168B3"/>
    <w:rsid w:val="00822C48"/>
    <w:rsid w:val="0083086E"/>
    <w:rsid w:val="008327CE"/>
    <w:rsid w:val="008429CF"/>
    <w:rsid w:val="00843DFB"/>
    <w:rsid w:val="008462F4"/>
    <w:rsid w:val="008542D0"/>
    <w:rsid w:val="0085474E"/>
    <w:rsid w:val="00860202"/>
    <w:rsid w:val="00861DCB"/>
    <w:rsid w:val="00862558"/>
    <w:rsid w:val="00863416"/>
    <w:rsid w:val="00864012"/>
    <w:rsid w:val="00867306"/>
    <w:rsid w:val="00867D96"/>
    <w:rsid w:val="00872153"/>
    <w:rsid w:val="00872D29"/>
    <w:rsid w:val="0087536E"/>
    <w:rsid w:val="00877EA3"/>
    <w:rsid w:val="0088094A"/>
    <w:rsid w:val="00883547"/>
    <w:rsid w:val="00883CB8"/>
    <w:rsid w:val="00886665"/>
    <w:rsid w:val="008915B6"/>
    <w:rsid w:val="00897232"/>
    <w:rsid w:val="00897826"/>
    <w:rsid w:val="008A046D"/>
    <w:rsid w:val="008A41C3"/>
    <w:rsid w:val="008A5735"/>
    <w:rsid w:val="008A6D1D"/>
    <w:rsid w:val="008B1ED3"/>
    <w:rsid w:val="008B5AF5"/>
    <w:rsid w:val="008C3C5F"/>
    <w:rsid w:val="008C3CC5"/>
    <w:rsid w:val="008C5EB6"/>
    <w:rsid w:val="008C7ED0"/>
    <w:rsid w:val="008D12DD"/>
    <w:rsid w:val="008D430A"/>
    <w:rsid w:val="008D432B"/>
    <w:rsid w:val="008D4F1A"/>
    <w:rsid w:val="008E04E3"/>
    <w:rsid w:val="008E3531"/>
    <w:rsid w:val="008E60F1"/>
    <w:rsid w:val="008E6D99"/>
    <w:rsid w:val="008E6F7B"/>
    <w:rsid w:val="008F5837"/>
    <w:rsid w:val="00912B18"/>
    <w:rsid w:val="00915486"/>
    <w:rsid w:val="00915D04"/>
    <w:rsid w:val="0092052A"/>
    <w:rsid w:val="009216CE"/>
    <w:rsid w:val="009221F7"/>
    <w:rsid w:val="00922CA5"/>
    <w:rsid w:val="00924C13"/>
    <w:rsid w:val="00927D28"/>
    <w:rsid w:val="00930419"/>
    <w:rsid w:val="00932125"/>
    <w:rsid w:val="009327E0"/>
    <w:rsid w:val="00932A02"/>
    <w:rsid w:val="009337D8"/>
    <w:rsid w:val="0093540C"/>
    <w:rsid w:val="00936FDA"/>
    <w:rsid w:val="009417AB"/>
    <w:rsid w:val="009472FA"/>
    <w:rsid w:val="0094789F"/>
    <w:rsid w:val="00951D69"/>
    <w:rsid w:val="00957D29"/>
    <w:rsid w:val="00965C41"/>
    <w:rsid w:val="0097207D"/>
    <w:rsid w:val="009730DB"/>
    <w:rsid w:val="00975DED"/>
    <w:rsid w:val="009761FD"/>
    <w:rsid w:val="009765EE"/>
    <w:rsid w:val="009779AC"/>
    <w:rsid w:val="00985CDA"/>
    <w:rsid w:val="009978E9"/>
    <w:rsid w:val="009A0461"/>
    <w:rsid w:val="009A4574"/>
    <w:rsid w:val="009A626C"/>
    <w:rsid w:val="009A639A"/>
    <w:rsid w:val="009A6B7C"/>
    <w:rsid w:val="009B02FC"/>
    <w:rsid w:val="009B4CAD"/>
    <w:rsid w:val="009B67FE"/>
    <w:rsid w:val="009C16BD"/>
    <w:rsid w:val="009C4D5D"/>
    <w:rsid w:val="009C72A6"/>
    <w:rsid w:val="009C7F70"/>
    <w:rsid w:val="009D2E24"/>
    <w:rsid w:val="009E37DC"/>
    <w:rsid w:val="009F6F6F"/>
    <w:rsid w:val="00A060C1"/>
    <w:rsid w:val="00A10DA0"/>
    <w:rsid w:val="00A14345"/>
    <w:rsid w:val="00A14F0F"/>
    <w:rsid w:val="00A1520C"/>
    <w:rsid w:val="00A228E5"/>
    <w:rsid w:val="00A23F83"/>
    <w:rsid w:val="00A27B85"/>
    <w:rsid w:val="00A27C4F"/>
    <w:rsid w:val="00A35BC5"/>
    <w:rsid w:val="00A3609A"/>
    <w:rsid w:val="00A4054C"/>
    <w:rsid w:val="00A40A9E"/>
    <w:rsid w:val="00A41FFA"/>
    <w:rsid w:val="00A43819"/>
    <w:rsid w:val="00A45B6C"/>
    <w:rsid w:val="00A46EC0"/>
    <w:rsid w:val="00A524B4"/>
    <w:rsid w:val="00A54096"/>
    <w:rsid w:val="00A55AFF"/>
    <w:rsid w:val="00A60011"/>
    <w:rsid w:val="00A61305"/>
    <w:rsid w:val="00A6573D"/>
    <w:rsid w:val="00A6668B"/>
    <w:rsid w:val="00A66ECE"/>
    <w:rsid w:val="00A6737B"/>
    <w:rsid w:val="00A70DC0"/>
    <w:rsid w:val="00A7537B"/>
    <w:rsid w:val="00A77B51"/>
    <w:rsid w:val="00A8048C"/>
    <w:rsid w:val="00A81CE8"/>
    <w:rsid w:val="00A82191"/>
    <w:rsid w:val="00A825EA"/>
    <w:rsid w:val="00A82EDD"/>
    <w:rsid w:val="00A9092A"/>
    <w:rsid w:val="00A94AD2"/>
    <w:rsid w:val="00A94CB3"/>
    <w:rsid w:val="00A958A1"/>
    <w:rsid w:val="00AA59D8"/>
    <w:rsid w:val="00AA77AE"/>
    <w:rsid w:val="00AB00F4"/>
    <w:rsid w:val="00AB1A49"/>
    <w:rsid w:val="00AB39DB"/>
    <w:rsid w:val="00AB4E26"/>
    <w:rsid w:val="00AB51AD"/>
    <w:rsid w:val="00AB7968"/>
    <w:rsid w:val="00AC37F4"/>
    <w:rsid w:val="00AC7B92"/>
    <w:rsid w:val="00AD2A15"/>
    <w:rsid w:val="00AD2DDC"/>
    <w:rsid w:val="00AD4509"/>
    <w:rsid w:val="00AE01E9"/>
    <w:rsid w:val="00AE1F66"/>
    <w:rsid w:val="00AE62E9"/>
    <w:rsid w:val="00AE6400"/>
    <w:rsid w:val="00AF5355"/>
    <w:rsid w:val="00B04DD5"/>
    <w:rsid w:val="00B06F4D"/>
    <w:rsid w:val="00B1104D"/>
    <w:rsid w:val="00B1359E"/>
    <w:rsid w:val="00B14D62"/>
    <w:rsid w:val="00B170C3"/>
    <w:rsid w:val="00B17B7D"/>
    <w:rsid w:val="00B17F77"/>
    <w:rsid w:val="00B21099"/>
    <w:rsid w:val="00B22BF2"/>
    <w:rsid w:val="00B22C7D"/>
    <w:rsid w:val="00B24261"/>
    <w:rsid w:val="00B2471C"/>
    <w:rsid w:val="00B25A39"/>
    <w:rsid w:val="00B26271"/>
    <w:rsid w:val="00B3012E"/>
    <w:rsid w:val="00B30489"/>
    <w:rsid w:val="00B32E6F"/>
    <w:rsid w:val="00B33B67"/>
    <w:rsid w:val="00B348DD"/>
    <w:rsid w:val="00B40818"/>
    <w:rsid w:val="00B40C5D"/>
    <w:rsid w:val="00B430FD"/>
    <w:rsid w:val="00B4563D"/>
    <w:rsid w:val="00B53621"/>
    <w:rsid w:val="00B54F28"/>
    <w:rsid w:val="00B56792"/>
    <w:rsid w:val="00B6435A"/>
    <w:rsid w:val="00B64D31"/>
    <w:rsid w:val="00B7028B"/>
    <w:rsid w:val="00B70BFC"/>
    <w:rsid w:val="00B716A3"/>
    <w:rsid w:val="00B71A4F"/>
    <w:rsid w:val="00B73BAD"/>
    <w:rsid w:val="00B747AD"/>
    <w:rsid w:val="00B85743"/>
    <w:rsid w:val="00B85B47"/>
    <w:rsid w:val="00B961AD"/>
    <w:rsid w:val="00BA0699"/>
    <w:rsid w:val="00BA1BF2"/>
    <w:rsid w:val="00BA31CC"/>
    <w:rsid w:val="00BA4C14"/>
    <w:rsid w:val="00BA6199"/>
    <w:rsid w:val="00BA6D64"/>
    <w:rsid w:val="00BA7E5C"/>
    <w:rsid w:val="00BA7EA6"/>
    <w:rsid w:val="00BB171A"/>
    <w:rsid w:val="00BC0A2F"/>
    <w:rsid w:val="00BC5C1D"/>
    <w:rsid w:val="00BC7406"/>
    <w:rsid w:val="00BD690F"/>
    <w:rsid w:val="00BD6D79"/>
    <w:rsid w:val="00BD7F7E"/>
    <w:rsid w:val="00BE0161"/>
    <w:rsid w:val="00BE0E49"/>
    <w:rsid w:val="00BE64A6"/>
    <w:rsid w:val="00BF00F8"/>
    <w:rsid w:val="00BF04CF"/>
    <w:rsid w:val="00BF15D2"/>
    <w:rsid w:val="00BF56DD"/>
    <w:rsid w:val="00BF5D9F"/>
    <w:rsid w:val="00C040F8"/>
    <w:rsid w:val="00C04664"/>
    <w:rsid w:val="00C04EF5"/>
    <w:rsid w:val="00C07F5A"/>
    <w:rsid w:val="00C10DBD"/>
    <w:rsid w:val="00C12680"/>
    <w:rsid w:val="00C1574C"/>
    <w:rsid w:val="00C21527"/>
    <w:rsid w:val="00C227DD"/>
    <w:rsid w:val="00C23A72"/>
    <w:rsid w:val="00C241B5"/>
    <w:rsid w:val="00C25117"/>
    <w:rsid w:val="00C26EB0"/>
    <w:rsid w:val="00C27364"/>
    <w:rsid w:val="00C35D30"/>
    <w:rsid w:val="00C40E48"/>
    <w:rsid w:val="00C42C2C"/>
    <w:rsid w:val="00C43F7B"/>
    <w:rsid w:val="00C468A7"/>
    <w:rsid w:val="00C53061"/>
    <w:rsid w:val="00C537A2"/>
    <w:rsid w:val="00C537BD"/>
    <w:rsid w:val="00C55143"/>
    <w:rsid w:val="00C55B6B"/>
    <w:rsid w:val="00C56343"/>
    <w:rsid w:val="00C63CD3"/>
    <w:rsid w:val="00C64BC7"/>
    <w:rsid w:val="00C65818"/>
    <w:rsid w:val="00C65F48"/>
    <w:rsid w:val="00C70F67"/>
    <w:rsid w:val="00C717CC"/>
    <w:rsid w:val="00C721E3"/>
    <w:rsid w:val="00C730D6"/>
    <w:rsid w:val="00C7503C"/>
    <w:rsid w:val="00C81169"/>
    <w:rsid w:val="00C8171F"/>
    <w:rsid w:val="00C82AE5"/>
    <w:rsid w:val="00C8448F"/>
    <w:rsid w:val="00C84851"/>
    <w:rsid w:val="00C8629A"/>
    <w:rsid w:val="00C8778B"/>
    <w:rsid w:val="00C877FC"/>
    <w:rsid w:val="00C9081D"/>
    <w:rsid w:val="00C90E43"/>
    <w:rsid w:val="00C928FF"/>
    <w:rsid w:val="00C9615D"/>
    <w:rsid w:val="00C977D1"/>
    <w:rsid w:val="00CA032D"/>
    <w:rsid w:val="00CA1EC9"/>
    <w:rsid w:val="00CA6EE4"/>
    <w:rsid w:val="00CB06DF"/>
    <w:rsid w:val="00CB2599"/>
    <w:rsid w:val="00CB2F67"/>
    <w:rsid w:val="00CC1C1B"/>
    <w:rsid w:val="00CC3B2B"/>
    <w:rsid w:val="00CC50C0"/>
    <w:rsid w:val="00CD07BF"/>
    <w:rsid w:val="00CD24A7"/>
    <w:rsid w:val="00CE1E79"/>
    <w:rsid w:val="00CE281F"/>
    <w:rsid w:val="00CE5BB7"/>
    <w:rsid w:val="00CF4DD3"/>
    <w:rsid w:val="00CF527A"/>
    <w:rsid w:val="00D00132"/>
    <w:rsid w:val="00D00873"/>
    <w:rsid w:val="00D013A4"/>
    <w:rsid w:val="00D02466"/>
    <w:rsid w:val="00D101F2"/>
    <w:rsid w:val="00D127DE"/>
    <w:rsid w:val="00D15EB8"/>
    <w:rsid w:val="00D17E64"/>
    <w:rsid w:val="00D21A7C"/>
    <w:rsid w:val="00D220F0"/>
    <w:rsid w:val="00D23799"/>
    <w:rsid w:val="00D2473B"/>
    <w:rsid w:val="00D27C38"/>
    <w:rsid w:val="00D32F41"/>
    <w:rsid w:val="00D35A8F"/>
    <w:rsid w:val="00D41A7F"/>
    <w:rsid w:val="00D42F2F"/>
    <w:rsid w:val="00D4797A"/>
    <w:rsid w:val="00D47B46"/>
    <w:rsid w:val="00D52238"/>
    <w:rsid w:val="00D524E6"/>
    <w:rsid w:val="00D564C9"/>
    <w:rsid w:val="00D56602"/>
    <w:rsid w:val="00D570C7"/>
    <w:rsid w:val="00D62381"/>
    <w:rsid w:val="00D627FF"/>
    <w:rsid w:val="00D654C2"/>
    <w:rsid w:val="00D657D9"/>
    <w:rsid w:val="00D668A0"/>
    <w:rsid w:val="00D72C72"/>
    <w:rsid w:val="00D74309"/>
    <w:rsid w:val="00D82320"/>
    <w:rsid w:val="00D870D2"/>
    <w:rsid w:val="00D91341"/>
    <w:rsid w:val="00D913F1"/>
    <w:rsid w:val="00D92A35"/>
    <w:rsid w:val="00D97063"/>
    <w:rsid w:val="00DA2FB1"/>
    <w:rsid w:val="00DA41B0"/>
    <w:rsid w:val="00DA5732"/>
    <w:rsid w:val="00DB0F75"/>
    <w:rsid w:val="00DB2278"/>
    <w:rsid w:val="00DB2C2C"/>
    <w:rsid w:val="00DB3854"/>
    <w:rsid w:val="00DB46BB"/>
    <w:rsid w:val="00DB4F41"/>
    <w:rsid w:val="00DD30CC"/>
    <w:rsid w:val="00DD734B"/>
    <w:rsid w:val="00DE1175"/>
    <w:rsid w:val="00DE4DBA"/>
    <w:rsid w:val="00DF212C"/>
    <w:rsid w:val="00DF2169"/>
    <w:rsid w:val="00DF2B33"/>
    <w:rsid w:val="00DF3E4F"/>
    <w:rsid w:val="00DF66B3"/>
    <w:rsid w:val="00E03A0F"/>
    <w:rsid w:val="00E07712"/>
    <w:rsid w:val="00E07A54"/>
    <w:rsid w:val="00E1057B"/>
    <w:rsid w:val="00E1494F"/>
    <w:rsid w:val="00E21DB0"/>
    <w:rsid w:val="00E31D46"/>
    <w:rsid w:val="00E326BC"/>
    <w:rsid w:val="00E32ED3"/>
    <w:rsid w:val="00E34186"/>
    <w:rsid w:val="00E34AAE"/>
    <w:rsid w:val="00E36E16"/>
    <w:rsid w:val="00E40829"/>
    <w:rsid w:val="00E44346"/>
    <w:rsid w:val="00E52DB6"/>
    <w:rsid w:val="00E53AAC"/>
    <w:rsid w:val="00E6036D"/>
    <w:rsid w:val="00E60934"/>
    <w:rsid w:val="00E620BB"/>
    <w:rsid w:val="00E62FA1"/>
    <w:rsid w:val="00E64B37"/>
    <w:rsid w:val="00E65967"/>
    <w:rsid w:val="00E65AB8"/>
    <w:rsid w:val="00E660BE"/>
    <w:rsid w:val="00E663DC"/>
    <w:rsid w:val="00E67B20"/>
    <w:rsid w:val="00E70777"/>
    <w:rsid w:val="00E8597A"/>
    <w:rsid w:val="00E8732E"/>
    <w:rsid w:val="00E879F9"/>
    <w:rsid w:val="00E905E8"/>
    <w:rsid w:val="00E920AA"/>
    <w:rsid w:val="00E92C3F"/>
    <w:rsid w:val="00EA3016"/>
    <w:rsid w:val="00EA6E9B"/>
    <w:rsid w:val="00EB330A"/>
    <w:rsid w:val="00EB3CEC"/>
    <w:rsid w:val="00EB4D7C"/>
    <w:rsid w:val="00EC0F4C"/>
    <w:rsid w:val="00EC7320"/>
    <w:rsid w:val="00ED159F"/>
    <w:rsid w:val="00ED66E1"/>
    <w:rsid w:val="00EE2A83"/>
    <w:rsid w:val="00EF3303"/>
    <w:rsid w:val="00EF3734"/>
    <w:rsid w:val="00EF3A26"/>
    <w:rsid w:val="00F01BBF"/>
    <w:rsid w:val="00F06376"/>
    <w:rsid w:val="00F072C7"/>
    <w:rsid w:val="00F14A9A"/>
    <w:rsid w:val="00F15B42"/>
    <w:rsid w:val="00F21241"/>
    <w:rsid w:val="00F21DBF"/>
    <w:rsid w:val="00F221E9"/>
    <w:rsid w:val="00F22748"/>
    <w:rsid w:val="00F22778"/>
    <w:rsid w:val="00F23741"/>
    <w:rsid w:val="00F249E4"/>
    <w:rsid w:val="00F24F05"/>
    <w:rsid w:val="00F25E62"/>
    <w:rsid w:val="00F2677A"/>
    <w:rsid w:val="00F26EB9"/>
    <w:rsid w:val="00F30471"/>
    <w:rsid w:val="00F30AE2"/>
    <w:rsid w:val="00F32F84"/>
    <w:rsid w:val="00F358F3"/>
    <w:rsid w:val="00F47F86"/>
    <w:rsid w:val="00F5294D"/>
    <w:rsid w:val="00F6184E"/>
    <w:rsid w:val="00F62671"/>
    <w:rsid w:val="00F66656"/>
    <w:rsid w:val="00F67411"/>
    <w:rsid w:val="00F72CCE"/>
    <w:rsid w:val="00F74400"/>
    <w:rsid w:val="00F76E88"/>
    <w:rsid w:val="00F77E1F"/>
    <w:rsid w:val="00F77FE5"/>
    <w:rsid w:val="00F82EBA"/>
    <w:rsid w:val="00F84344"/>
    <w:rsid w:val="00F8637D"/>
    <w:rsid w:val="00F94533"/>
    <w:rsid w:val="00F9537F"/>
    <w:rsid w:val="00F976EA"/>
    <w:rsid w:val="00FA21A0"/>
    <w:rsid w:val="00FA2B49"/>
    <w:rsid w:val="00FB6369"/>
    <w:rsid w:val="00FB7012"/>
    <w:rsid w:val="00FB7CEE"/>
    <w:rsid w:val="00FC04E9"/>
    <w:rsid w:val="00FC16C6"/>
    <w:rsid w:val="00FC16DD"/>
    <w:rsid w:val="00FC40F0"/>
    <w:rsid w:val="00FD098D"/>
    <w:rsid w:val="00FD11F0"/>
    <w:rsid w:val="00FD152F"/>
    <w:rsid w:val="00FD5549"/>
    <w:rsid w:val="00FE42CC"/>
    <w:rsid w:val="00FE5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101F"/>
  </w:style>
  <w:style w:type="paragraph" w:styleId="a3">
    <w:name w:val="Normal (Web)"/>
    <w:basedOn w:val="a"/>
    <w:uiPriority w:val="99"/>
    <w:unhideWhenUsed/>
    <w:rsid w:val="002C1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01F"/>
    <w:rPr>
      <w:b/>
      <w:bCs/>
    </w:rPr>
  </w:style>
</w:styles>
</file>

<file path=word/webSettings.xml><?xml version="1.0" encoding="utf-8"?>
<w:webSettings xmlns:r="http://schemas.openxmlformats.org/officeDocument/2006/relationships" xmlns:w="http://schemas.openxmlformats.org/wordprocessingml/2006/main">
  <w:divs>
    <w:div w:id="15164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13436</Words>
  <Characters>76587</Characters>
  <Application>Microsoft Office Word</Application>
  <DocSecurity>0</DocSecurity>
  <Lines>638</Lines>
  <Paragraphs>179</Paragraphs>
  <ScaleCrop>false</ScaleCrop>
  <Company/>
  <LinksUpToDate>false</LinksUpToDate>
  <CharactersWithSpaces>89844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2013-04-15T11:32:00Z</dcterms:created>
  <dcterms:modified xsi:type="dcterms:W3CDTF">2013-04-15T11:32:00Z</dcterms:modified>
</cp:coreProperties>
</file>