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919" w:rsidRPr="00F26B86" w:rsidRDefault="007E3919" w:rsidP="007E3919">
      <w:pPr>
        <w:spacing w:before="0" w:beforeAutospacing="0" w:after="0" w:afterAutospacing="0"/>
        <w:jc w:val="right"/>
        <w:rPr>
          <w:rFonts w:eastAsia="Times New Roman"/>
        </w:rPr>
      </w:pPr>
      <w:r w:rsidRPr="00F26B86">
        <w:rPr>
          <w:rFonts w:eastAsia="Times New Roman"/>
        </w:rPr>
        <w:t>Приложение 3</w:t>
      </w:r>
      <w:r w:rsidRPr="00F26B86">
        <w:rPr>
          <w:rFonts w:eastAsia="Times New Roman"/>
        </w:rPr>
        <w:br/>
        <w:t>к отчету главы городского округа Тольятти</w:t>
      </w:r>
      <w:r w:rsidRPr="00F26B86">
        <w:rPr>
          <w:rFonts w:eastAsia="Times New Roman"/>
        </w:rPr>
        <w:br/>
        <w:t>о результатах его деятельности</w:t>
      </w:r>
      <w:r w:rsidRPr="00F26B86">
        <w:rPr>
          <w:rFonts w:eastAsia="Times New Roman"/>
        </w:rPr>
        <w:br/>
        <w:t>и деятельности администрации г</w:t>
      </w:r>
      <w:r>
        <w:rPr>
          <w:rFonts w:eastAsia="Times New Roman"/>
        </w:rPr>
        <w:t>ородского</w:t>
      </w:r>
      <w:r>
        <w:rPr>
          <w:rFonts w:eastAsia="Times New Roman"/>
        </w:rPr>
        <w:br/>
        <w:t>округа Тольятти за 2020</w:t>
      </w:r>
      <w:r w:rsidRPr="00F26B86">
        <w:rPr>
          <w:rFonts w:eastAsia="Times New Roman"/>
        </w:rPr>
        <w:t xml:space="preserve"> год</w:t>
      </w:r>
    </w:p>
    <w:p w:rsidR="00B0542E" w:rsidRDefault="007E3919" w:rsidP="007E3919">
      <w:pPr>
        <w:jc w:val="center"/>
        <w:rPr>
          <w:sz w:val="28"/>
        </w:rPr>
      </w:pPr>
      <w:r w:rsidRPr="007E3919">
        <w:rPr>
          <w:b/>
          <w:bCs/>
          <w:sz w:val="28"/>
        </w:rPr>
        <w:t>Информация о результатах рассмотрения рекомендаций</w:t>
      </w:r>
      <w:r w:rsidRPr="007E3919">
        <w:rPr>
          <w:b/>
          <w:bCs/>
          <w:sz w:val="28"/>
        </w:rPr>
        <w:br/>
        <w:t>в адрес главы городского округа и администрации городского округа</w:t>
      </w:r>
      <w:r w:rsidRPr="007E3919">
        <w:rPr>
          <w:b/>
          <w:bCs/>
          <w:sz w:val="28"/>
        </w:rPr>
        <w:br/>
        <w:t>по итогам рассмотрения ежегодного отчета главы городского округа Тольятти</w:t>
      </w:r>
      <w:r w:rsidRPr="007E3919">
        <w:rPr>
          <w:b/>
          <w:bCs/>
          <w:sz w:val="28"/>
        </w:rPr>
        <w:br/>
        <w:t>о результатах его деятельности и деятельности администрации городского округа Тольятти за 2019 год</w:t>
      </w:r>
      <w:r w:rsidRPr="007E3919">
        <w:rPr>
          <w:sz w:val="28"/>
        </w:rPr>
        <w:br/>
        <w:t>(решение Думы городского округа Тольятти от 03.06.2020 №597)</w:t>
      </w:r>
    </w:p>
    <w:tbl>
      <w:tblPr>
        <w:tblW w:w="0" w:type="auto"/>
        <w:jc w:val="center"/>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961"/>
        <w:gridCol w:w="5492"/>
        <w:gridCol w:w="7277"/>
      </w:tblGrid>
      <w:tr w:rsidR="007E3919" w:rsidRPr="007E3919" w:rsidTr="00375F37">
        <w:trPr>
          <w:tblHeader/>
          <w:jc w:val="center"/>
        </w:trPr>
        <w:tc>
          <w:tcPr>
            <w:tcW w:w="961" w:type="dxa"/>
            <w:tcBorders>
              <w:top w:val="outset" w:sz="6" w:space="0" w:color="000000"/>
              <w:left w:val="outset" w:sz="6" w:space="0" w:color="000000"/>
              <w:bottom w:val="outset" w:sz="6" w:space="0" w:color="000000"/>
              <w:right w:val="outset" w:sz="6" w:space="0" w:color="000000"/>
            </w:tcBorders>
            <w:vAlign w:val="center"/>
            <w:hideMark/>
          </w:tcPr>
          <w:p w:rsidR="007E3919" w:rsidRPr="007E3919" w:rsidRDefault="007E3919" w:rsidP="007E3919">
            <w:pPr>
              <w:jc w:val="center"/>
              <w:rPr>
                <w:b/>
                <w:bCs/>
              </w:rPr>
            </w:pPr>
            <w:r w:rsidRPr="007E3919">
              <w:rPr>
                <w:b/>
                <w:bCs/>
              </w:rPr>
              <w:t xml:space="preserve">№ </w:t>
            </w:r>
          </w:p>
        </w:tc>
        <w:tc>
          <w:tcPr>
            <w:tcW w:w="5492" w:type="dxa"/>
            <w:tcBorders>
              <w:top w:val="outset" w:sz="6" w:space="0" w:color="000000"/>
              <w:left w:val="outset" w:sz="6" w:space="0" w:color="000000"/>
              <w:bottom w:val="outset" w:sz="6" w:space="0" w:color="000000"/>
              <w:right w:val="outset" w:sz="6" w:space="0" w:color="000000"/>
            </w:tcBorders>
            <w:vAlign w:val="center"/>
            <w:hideMark/>
          </w:tcPr>
          <w:p w:rsidR="007E3919" w:rsidRPr="007E3919" w:rsidRDefault="007E3919" w:rsidP="007E3919">
            <w:pPr>
              <w:jc w:val="center"/>
              <w:rPr>
                <w:b/>
                <w:bCs/>
              </w:rPr>
            </w:pPr>
            <w:r w:rsidRPr="007E3919">
              <w:rPr>
                <w:b/>
                <w:bCs/>
              </w:rPr>
              <w:t>Рекомендации</w:t>
            </w:r>
          </w:p>
        </w:tc>
        <w:tc>
          <w:tcPr>
            <w:tcW w:w="7277" w:type="dxa"/>
            <w:tcBorders>
              <w:top w:val="outset" w:sz="6" w:space="0" w:color="000000"/>
              <w:left w:val="outset" w:sz="6" w:space="0" w:color="000000"/>
              <w:bottom w:val="outset" w:sz="6" w:space="0" w:color="000000"/>
              <w:right w:val="outset" w:sz="6" w:space="0" w:color="000000"/>
            </w:tcBorders>
            <w:vAlign w:val="center"/>
            <w:hideMark/>
          </w:tcPr>
          <w:p w:rsidR="007E3919" w:rsidRPr="007E3919" w:rsidRDefault="007E3919" w:rsidP="007E3919">
            <w:pPr>
              <w:jc w:val="center"/>
              <w:rPr>
                <w:b/>
                <w:bCs/>
              </w:rPr>
            </w:pPr>
            <w:r w:rsidRPr="007E3919">
              <w:rPr>
                <w:b/>
                <w:bCs/>
              </w:rPr>
              <w:t>Информация о результатах рассмотрения рекомендаций по итогам 2020 года</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vAlign w:val="center"/>
            <w:hideMark/>
          </w:tcPr>
          <w:p w:rsidR="007E3919" w:rsidRPr="007E3919" w:rsidRDefault="007E3919" w:rsidP="007E3919">
            <w:r w:rsidRPr="007E3919">
              <w:rPr>
                <w:b/>
                <w:bCs/>
              </w:rPr>
              <w:t>1</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rPr>
                <w:b/>
                <w:bCs/>
              </w:rPr>
              <w:t>Рекомендовать:</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1.1</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принять все возможные меры к уменьшению объема бюджетных расходов на обслуживание муниципального долга;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proofErr w:type="gramStart"/>
            <w:r w:rsidRPr="007E3919">
              <w:t xml:space="preserve">Экономия расходов на обслуживание муниципального долга от </w:t>
            </w:r>
            <w:proofErr w:type="spellStart"/>
            <w:r w:rsidRPr="007E3919">
              <w:t>перекредитовки</w:t>
            </w:r>
            <w:proofErr w:type="spellEnd"/>
            <w:r w:rsidRPr="007E3919">
              <w:t xml:space="preserve"> кредитов кредитных организаций со ставкой кредитования 7,25% годовых, бюджетным кредитом, привлеченным из федерального бюджета под 0,1% годовых в сумме 636 308 тыс. руб., на 90 дней, составила 10 294 тыс. руб.</w:t>
            </w:r>
            <w:r w:rsidRPr="007E3919">
              <w:br/>
              <w:t>При наличии остатка на счете бюджета городского округа Тольятти производилось досрочное погашение кредитов кредитных организаций.</w:t>
            </w:r>
            <w:proofErr w:type="gramEnd"/>
            <w:r w:rsidRPr="007E3919">
              <w:br/>
              <w:t xml:space="preserve">Кроме того в 2020 году, заключались дополнительные соглашения с коммерческими банками по снижению процентной ставки с 7,5% до 5,5% </w:t>
            </w:r>
            <w:proofErr w:type="gramStart"/>
            <w:r w:rsidRPr="007E3919">
              <w:t>годовых</w:t>
            </w:r>
            <w:proofErr w:type="gramEnd"/>
            <w:r w:rsidRPr="007E3919">
              <w:t xml:space="preserve">. Были заключены муниципальные контракты по результатам электронных аукционов с целью снижения действующих ставок кредитования с 7,52-7% до 6,3-5,5% годовых, применялся механизм кратковременного заимствования временно свободных остатков субсидий, предоставляемых бюджетным и автономным учреждениям, кредитные средства привлекались не в </w:t>
            </w:r>
            <w:r w:rsidRPr="007E3919">
              <w:lastRenderedPageBreak/>
              <w:t xml:space="preserve">полном объеме заключенных муниципальных контрактов. Данные мероприятия позволили сэкономить 53 159 тыс. руб. </w:t>
            </w:r>
            <w:r w:rsidRPr="007E3919">
              <w:br/>
              <w:t>Общая сумма экономии расходов на обслуживание муниципального долга в 2020 году составила 63 453 тыс. руб. (первоначальный план – 438 123 тыс. руб., фактическое исполнение – 374 670 тыс. руб.).</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lastRenderedPageBreak/>
              <w:t>1.2</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продолжить работу по улучшению экономической ситуации в городском округе Тольятти для повышения заработной платы (доведения средней заработной платы жителей города до общероссийского уровня);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По данным Территориального органа федеральной службы государственной статистики по Самарской области (</w:t>
            </w:r>
            <w:proofErr w:type="spellStart"/>
            <w:r w:rsidRPr="007E3919">
              <w:t>Самарастат</w:t>
            </w:r>
            <w:proofErr w:type="spellEnd"/>
            <w:r w:rsidRPr="007E3919">
              <w:t>) за январь-ноябрь 2020 года заработная плата работников организаций городского округа Тольятти, не относящихся к субъектам малого предпринимательства, выросла на 4,7% и составила 41 350 руб. (у 151655 чел.). Это ниже, чем по Самарской области на 982 руб. (42332 руб.). В рейтинге городских округов Самарской области по данному показателю городской округ Тольятти занял 4 место.</w:t>
            </w:r>
            <w:r w:rsidRPr="007E3919">
              <w:br/>
              <w:t>Высокий уровень оплаты труда сохраняется в химическом производстве: среднемесячная заработная плата в этом виде деятельности превысила среднемесячную заработную плату в целом по городскому округу Тольятти в 1,4 раза и составила 56555 руб. (у 10609 чел.). По виду деятельности «Производство автотранспортных средств, прицепов и полуприцепов» среднемесячная заработная плата работников (40605 чел.) составила 49735 руб., что на 3,5% выше уровня соответствующего периода 2019 года.</w:t>
            </w:r>
            <w:r w:rsidRPr="007E3919">
              <w:br/>
              <w:t>Самый низкий уровень заработной платы сложился по виду деятельности «Деятельность гостиниц и предприятий общественного питания» (1996 чел.) - 20 509 руб. (+7,6% к январю-ноябрю 2019 года), «Деятельность по операциям с недвижимым имуществом» (1252 чел.) - 23273 руб. (+12,4%), «Образование» (18705 чел.) -        25 447 руб. (+4,6%).</w:t>
            </w:r>
            <w:r w:rsidRPr="007E3919">
              <w:br/>
              <w:t xml:space="preserve">Вместе с этим, значительная часть работающего населения городского округа Тольятти занята на предприятиях малого бизнеса, </w:t>
            </w:r>
            <w:r w:rsidRPr="007E3919">
              <w:lastRenderedPageBreak/>
              <w:t xml:space="preserve">где уровень оплаты труда значительно отстает от заработной платы работников крупных и средних организаций. Сведения о заработной плате работников малых предприятий отсутствуют, при этом по данным </w:t>
            </w:r>
            <w:proofErr w:type="spellStart"/>
            <w:r w:rsidRPr="007E3919">
              <w:t>Самарастат</w:t>
            </w:r>
            <w:proofErr w:type="spellEnd"/>
            <w:r w:rsidRPr="007E3919">
              <w:t>, полученным по итогам 9 месяцев 2020 года заработная плата работников крупных, средних и малых предприятий городского округа Тольятти составила 36,5 тыс. руб., что ниже, чем по Самарской области (37,8 тыс. руб.).</w:t>
            </w:r>
            <w:r w:rsidRPr="007E3919">
              <w:br/>
              <w:t>В отношении граждан пенсионного возраста по данным ГУ - Отделение Пенсионного Фонда РФ по Самарской области, общее количество получателей пенсий в городском округе Тольятти по состоянию на 01.01.2021 составило 206,9 тыс. чел., общий средний размер назначенных пенсий на 01.01.2021 составил 16,6 тыс. рублей, что на 6,0% больше 2019 года.</w:t>
            </w:r>
            <w:r w:rsidRPr="007E3919">
              <w:br/>
              <w:t>Следует отметить, что органы государственной власти, а также органы местного самоуправления не оказывают прямого регулирования оплаты труда работников внебюджетных организаций, которые занимают основную долю среди всех предприятий и организаций городского округа Тольятти.</w:t>
            </w:r>
            <w:r w:rsidRPr="007E3919">
              <w:br/>
              <w:t>Организации вправе самостоятельно устанавливать заработную плату своим сотрудникам: бюджетные учреждения – в пределах статьи бюджета, предназначенной на эти цели в соответствии с бюджетной «сеткой», коммерческие организации – в пределах собственных средств.</w:t>
            </w:r>
            <w:r w:rsidRPr="007E3919">
              <w:br/>
              <w:t>Величина заработной платы работников внебюджетной сферы зависит от общей эффективности работы организации, уровня технического прогресса, способствующего повышению производительности труда, выпуску конкурентоспособной продукции, что в конечном итоге влияет на увеличение заработка работников.</w:t>
            </w:r>
            <w:r w:rsidRPr="007E3919">
              <w:br/>
            </w:r>
            <w:proofErr w:type="gramStart"/>
            <w:r w:rsidRPr="007E3919">
              <w:t xml:space="preserve">В отношении работников бюджетной сферы: в отчетном году </w:t>
            </w:r>
            <w:r w:rsidRPr="007E3919">
              <w:lastRenderedPageBreak/>
              <w:t>обеспечено исполнение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в части доведения в 2020 году средней заработной платы работников учреждений культуры до средней заработной платы от</w:t>
            </w:r>
            <w:proofErr w:type="gramEnd"/>
            <w:r w:rsidRPr="007E3919">
              <w:t xml:space="preserve"> трудовой деятельности в Самарской области, средней заработной платы преподавателей учреждений дополнительного образования детей до средней заработной платы учителей в Самарской области.</w:t>
            </w:r>
            <w:r w:rsidRPr="007E3919">
              <w:br/>
              <w:t xml:space="preserve">Кроме того, при переводе с апреля 2020 года муниципальных учреждений дополнительного образования, находящихся в ведомственном подчинении управления физической культуры и спорта администрации городского округа Тольятти, в спортивные школы олимпийского резерва, заработная плата тренеров была сохранена на уровне заработной платы педагогов дополнительного образования до конца года. </w:t>
            </w:r>
            <w:proofErr w:type="gramStart"/>
            <w:r w:rsidRPr="007E3919">
              <w:t>За счет средств бюджета городского округа Тольятти на эти цели было предусмотрено 60 196 тыс. руб. Финансирование расходов осуществлялось также за счет средств дотаций на поддержку мер по обеспечению сбалансированности местных бюджетов областного бюджета, которыми в соответствии с изменениями бюджетного законодательства с 2020 года были заменены средства стимулирующих субсидий, предоставляемых с учетом выполнения показателей социально-экономического развития.</w:t>
            </w:r>
            <w:proofErr w:type="gramEnd"/>
            <w:r w:rsidRPr="007E3919">
              <w:br/>
            </w:r>
            <w:proofErr w:type="gramStart"/>
            <w:r w:rsidRPr="007E3919">
              <w:t>В 2020 году обеспечена индексация заработной платы работников муниципальных учреждений городского округа Тольятти, на которых не распространяются Указы Президента Российской Федерации, и работников органов местного самоуправления, с 1 января 2020 года на 4,0%. На эти цели в бюджете городского округа Тольятти были предусмотрены 91 972 тыс. руб.</w:t>
            </w:r>
            <w:r w:rsidRPr="007E3919">
              <w:br/>
            </w:r>
            <w:r w:rsidRPr="007E3919">
              <w:lastRenderedPageBreak/>
              <w:t>Кроме того, обеспечено повышение минимального размера оплаты труда (МРОТ) до 12 130 руб</w:t>
            </w:r>
            <w:proofErr w:type="gramEnd"/>
            <w:r w:rsidRPr="007E3919">
              <w:t>. с 1 января 2020 года работников муниципальных учреждений за счет средств бюджета городского округа Тольятти в сумме 31 260 тыс. руб.</w:t>
            </w:r>
            <w:r w:rsidRPr="007E3919">
              <w:br/>
              <w:t>В связи с замедлением темпов экономического развития и снижением доходов населения в 2020 году на федеральном и региональном уровне были приняты беспрецедентные меры поддержки населения и бизнеса.</w:t>
            </w:r>
            <w:r w:rsidRPr="007E3919">
              <w:br/>
            </w:r>
            <w:proofErr w:type="gramStart"/>
            <w:r w:rsidRPr="007E3919">
              <w:t>Для всех граждан, признанных безработными с 1 марта 2020 года, установлен максимальный размер пособия по безработице (12 130 руб., равный МРОТ), а также дополнительно на каждого ребенка до 18 лет предусмотрена ежемесячная выплата в размере 3 000 руб. По данным Государственного казенного учреждения Самарской области «Центр занятости населения городского округа Тольятти» по состоянию на 01 октября текущего года численность получателей</w:t>
            </w:r>
            <w:proofErr w:type="gramEnd"/>
            <w:r w:rsidRPr="007E3919">
              <w:t xml:space="preserve"> пособия по безработице в максимальном размере из числа потерявших работу в городе составляла 4,8 тыс. чел. (данная мера отменена с 1 октября текущего года).</w:t>
            </w:r>
            <w:r w:rsidRPr="007E3919">
              <w:br/>
              <w:t>По данным Министерства экономического развития и инвестиций Самарской области, всего в 2020 году предоставлялось 123 вида социальных выплат, из них 63 вида пособий выплачиваются из областного бюджета.</w:t>
            </w:r>
            <w:r w:rsidRPr="007E3919">
              <w:br/>
              <w:t xml:space="preserve">В целях исполнения поручений Президента Российской Федерации в части мер социальной поддержки граждан в условиях распространения новой </w:t>
            </w:r>
            <w:proofErr w:type="spellStart"/>
            <w:r w:rsidRPr="007E3919">
              <w:t>коронавирусной</w:t>
            </w:r>
            <w:proofErr w:type="spellEnd"/>
            <w:r w:rsidRPr="007E3919">
              <w:t xml:space="preserve"> инфекции (COVID-19) в регионе принята нормативная правовая база, упрощающая процедуру назначения ряда социальных мер, предполагающая автоматическое продление денежных выплат без обращения граждан и подтверждения размеров их доходов. Приняты и реализованы решения о дополнительной поддержке отдельных категорий граждан </w:t>
            </w:r>
            <w:r w:rsidRPr="007E3919">
              <w:lastRenderedPageBreak/>
              <w:t>за счет средств вышестоящих бюджетов.</w:t>
            </w:r>
            <w:r w:rsidRPr="007E3919">
              <w:br/>
              <w:t xml:space="preserve">Из средств бюджета городского округа Тольятти также предусмотрены меры социальной поддержки гражданам. </w:t>
            </w:r>
            <w:proofErr w:type="gramStart"/>
            <w:r w:rsidRPr="007E3919">
              <w:t>В рамках выполнения мероприятий муниципальной программы городского округа Тольятти «Создание условий для улучшения качества жизни жителей городского округа Тольятти и обеспечения социальной стабильности» на 2020-2024 годы за 2020 год в среднем 14,1 тыс. граждан получили социальную помощь из местного бюджета в виде денежных выплат на сумму 65 599 тыс. руб. Бесплатное (льготное) питание за отчетный период получили 4,9 тыс. детей</w:t>
            </w:r>
            <w:proofErr w:type="gramEnd"/>
            <w:r w:rsidRPr="007E3919">
              <w:t xml:space="preserve"> в общеобразовательных учреждениях на сумму 27 090 тыс. руб. </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lastRenderedPageBreak/>
              <w:t>1.3</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осуществлять </w:t>
            </w:r>
            <w:proofErr w:type="gramStart"/>
            <w:r w:rsidRPr="007E3919">
              <w:t>контроль за</w:t>
            </w:r>
            <w:proofErr w:type="gramEnd"/>
            <w:r w:rsidRPr="007E3919">
              <w:t xml:space="preserve"> эффективным использованием муниципального имущества, находящегося в муниципальной казне, в хозяйственном ведении муниципальных предприятий, в оперативном управлении муниципальных учреждений, а также внесенным в качестве вклада в уставные капиталы акционерных обществ;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В целях надлежащего </w:t>
            </w:r>
            <w:proofErr w:type="gramStart"/>
            <w:r w:rsidRPr="007E3919">
              <w:t>контроля за</w:t>
            </w:r>
            <w:proofErr w:type="gramEnd"/>
            <w:r w:rsidRPr="007E3919">
              <w:t xml:space="preserve"> использованием имущества, переданного в оперативное управление и хозяйственное ведение, в течение 2020 года в период действия ограничительных мер проведены осмотры 82 объектов имущества, закрепленного за муниципальными учреждениями и муниципальными предприятиями, на предмет их использования по назначению, списанию.</w:t>
            </w:r>
            <w:r w:rsidRPr="007E3919">
              <w:br/>
            </w:r>
            <w:proofErr w:type="gramStart"/>
            <w:r w:rsidRPr="007E3919">
              <w:t>Управление акциями, находящимися в муниципальной собственности городского округа Тольятти, осуществляется через представителей городского округа Тольятти в советах директоров акционерных обществ в соответствии с Порядком представления интересов городского округа Тольятти в органах управления акционерных обществ, акции (часть акций) которых находятся в муниципальной собственности, утвержденному постановлением мэрии городского округа Тольятти от 30.03.2016 № 936-п/1.</w:t>
            </w:r>
            <w:proofErr w:type="gramEnd"/>
            <w:r w:rsidRPr="007E3919">
              <w:br/>
              <w:t xml:space="preserve">Представители городского округа Тольятти непосредственно участвуют в заседаниях советов директоров, в годовых общих собраниях. На заседаниях советов директоров рассматриваются </w:t>
            </w:r>
            <w:r w:rsidRPr="007E3919">
              <w:lastRenderedPageBreak/>
              <w:t>вопросы по определению приоритетных направлений деятельности обществ, а также мероприятия по повышению эффективности деятельности обществ.</w:t>
            </w:r>
            <w:r w:rsidRPr="007E3919">
              <w:br/>
              <w:t xml:space="preserve">В целях осуществления </w:t>
            </w:r>
            <w:proofErr w:type="gramStart"/>
            <w:r w:rsidRPr="007E3919">
              <w:t>контроля за</w:t>
            </w:r>
            <w:proofErr w:type="gramEnd"/>
            <w:r w:rsidRPr="007E3919">
              <w:t xml:space="preserve"> использованием муниципальных нежилых помещений, находящихся в муниципальной казне, в 2020 году проведено 264 инспекций. Выявлено 3 нарушения. Приняты меры по их устранению.</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lastRenderedPageBreak/>
              <w:t>1.4</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proofErr w:type="gramStart"/>
            <w:r w:rsidRPr="007E3919">
              <w:t xml:space="preserve">принять соответствующие меры по сокращению суммы задолженности за использование муниципального имущества, находящегося в казне и за земельные участки, находящиеся в муниципальной собственности, и за земельные участки, государственная собственность на которые не разграничена и которые расположены в границах городского округа Тольятти, в том числе в судебном порядке, в целях увеличения доходной части бюджета; </w:t>
            </w:r>
            <w:proofErr w:type="gramEnd"/>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pPr>
              <w:spacing w:before="0" w:beforeAutospacing="0" w:after="0" w:afterAutospacing="0"/>
            </w:pPr>
            <w:proofErr w:type="gramStart"/>
            <w:r w:rsidRPr="007E3919">
              <w:t>В 2020 году по договорам аренды нежилых помещений подготовлено 60 претензий, из которых:</w:t>
            </w:r>
            <w:r w:rsidRPr="007E3919">
              <w:br/>
              <w:t>- 50 претензий – по договорам аренды нежилых помещений, на общую сумму 7 222,47 тыс. руб.;</w:t>
            </w:r>
            <w:r w:rsidRPr="007E3919">
              <w:br/>
              <w:t>- 10 претензий – за фактическое пользование, на общую сумму          1 976,92 тыс. руб.;</w:t>
            </w:r>
            <w:r w:rsidRPr="007E3919">
              <w:br/>
              <w:t>Подано 11 исковых заявлений:</w:t>
            </w:r>
            <w:r w:rsidRPr="007E3919">
              <w:br/>
              <w:t>- 6 исковых заявлений – по договорам аренды нежилых помещений, на общую сумму 463 тыс. руб.;</w:t>
            </w:r>
            <w:r w:rsidRPr="007E3919">
              <w:br/>
              <w:t>- 3 исковых заявлений</w:t>
            </w:r>
            <w:proofErr w:type="gramEnd"/>
            <w:r w:rsidRPr="007E3919">
              <w:t xml:space="preserve"> – за фактическое пользование, на общую сумму 1 132 тыс. руб.;</w:t>
            </w:r>
            <w:r w:rsidRPr="007E3919">
              <w:br/>
              <w:t xml:space="preserve">- 2 </w:t>
            </w:r>
            <w:proofErr w:type="gramStart"/>
            <w:r w:rsidRPr="007E3919">
              <w:t>исковых</w:t>
            </w:r>
            <w:proofErr w:type="gramEnd"/>
            <w:r w:rsidRPr="007E3919">
              <w:t xml:space="preserve"> заявления – о выселении. </w:t>
            </w:r>
            <w:r w:rsidRPr="007E3919">
              <w:br/>
              <w:t>Удовлетворено 6 исковых заявлений:</w:t>
            </w:r>
            <w:r w:rsidRPr="007E3919">
              <w:br/>
              <w:t>- 3 исковых заявления – по договорам аренды нежилых помещений, на общую сумму 278,07 тыс. руб.;</w:t>
            </w:r>
            <w:r w:rsidRPr="007E3919">
              <w:br/>
              <w:t>- 2 исковых заявления – за фактическое пользование, на общую сумму 437,02 тыс. руб.</w:t>
            </w:r>
            <w:r w:rsidRPr="007E3919">
              <w:br/>
              <w:t>- 1 исковое заявление – о выселении.</w:t>
            </w:r>
            <w:r w:rsidRPr="007E3919">
              <w:br/>
            </w:r>
            <w:proofErr w:type="gramStart"/>
            <w:r w:rsidRPr="007E3919">
              <w:t>Поступили денежные средства на общую сумму 2 488,4 тыс. руб., из них:</w:t>
            </w:r>
            <w:r w:rsidRPr="007E3919">
              <w:br/>
              <w:t>- в досудебном порядке – 1 144,9 тыс. руб.;</w:t>
            </w:r>
            <w:r w:rsidRPr="007E3919">
              <w:br/>
              <w:t>- по решениям судов – 1 343,50 тыс. руб., из которых:</w:t>
            </w:r>
            <w:r w:rsidRPr="007E3919">
              <w:br/>
            </w:r>
            <w:r w:rsidRPr="007E3919">
              <w:lastRenderedPageBreak/>
              <w:t>- по договорам аренды нежилых помещений – 562,1 тыс. руб.;</w:t>
            </w:r>
            <w:r w:rsidRPr="007E3919">
              <w:br/>
              <w:t>- за фактическое пользование – 781,4 тыс. руб.</w:t>
            </w:r>
            <w:r w:rsidRPr="007E3919">
              <w:br/>
              <w:t>За период с 01.01.2020 по 31.12.2020 задолженность по договорам аренды земельных участков снизилась на 21,4% (на 01.01.2020 составляла</w:t>
            </w:r>
            <w:proofErr w:type="gramEnd"/>
            <w:r w:rsidRPr="007E3919">
              <w:t xml:space="preserve"> </w:t>
            </w:r>
            <w:proofErr w:type="gramStart"/>
            <w:r w:rsidRPr="007E3919">
              <w:t>665 000,8 тыс. руб. на 01.01.2021 – 522 646,1 тыс. руб.).</w:t>
            </w:r>
            <w:proofErr w:type="gramEnd"/>
            <w:r w:rsidRPr="007E3919">
              <w:br/>
              <w:t>В целях сокращения суммы задолженности и увеличения доходной части бюджета в 2020 году направлено 5 230 претензий на общую сумму 340 341,6 тыс. руб. (в том числе задолженность по арендной плате 285 263,7 тыс. руб.). Из них в добровольном порядке оплачено 59 780,5 тыс. руб. В случае отсутствия оплаты формировался пакет документов для обращения в суд.</w:t>
            </w:r>
            <w:r w:rsidRPr="007E3919">
              <w:br/>
            </w:r>
            <w:proofErr w:type="gramStart"/>
            <w:r w:rsidRPr="007E3919">
              <w:t>Для взыскания задолженности за 2020 подготовлено и направлено 409 исковых заявления в суд на общую сумму 120 242,7 тыс. руб. Вынесено 345 судебных решения на сумму 85 49,4 тыс. руб.</w:t>
            </w:r>
            <w:r w:rsidRPr="007E3919">
              <w:br/>
              <w:t>За 2020 год поступили денежные средства, взысканные по решениям суда по договорам аренды земельных участков в сумме 37 525,2 тыс. руб.</w:t>
            </w:r>
            <w:r w:rsidRPr="007E3919">
              <w:br/>
              <w:t>Проведенная работа в разрезе администраторов доходов:</w:t>
            </w:r>
            <w:r w:rsidRPr="007E3919">
              <w:br/>
              <w:t>- департамент по управлению</w:t>
            </w:r>
            <w:proofErr w:type="gramEnd"/>
            <w:r w:rsidRPr="007E3919">
              <w:t xml:space="preserve"> муниципальным имуществом: </w:t>
            </w:r>
            <w:r w:rsidRPr="007E3919">
              <w:br/>
              <w:t xml:space="preserve">направлено 4 395 претензий на общую сумму 307 221,2 тыс. руб. Из них в добровольном порядке оплачено 59 780,5 тыс. руб. </w:t>
            </w:r>
            <w:r w:rsidRPr="007E3919">
              <w:br/>
              <w:t>За 2020 год поступили денежные средства, взысканные по решениям суда по договорам аренды земельных участков в сумме 36 559,1 тыс. руб.</w:t>
            </w:r>
            <w:r w:rsidRPr="007E3919">
              <w:br/>
              <w:t xml:space="preserve">- отдел развития потребительского рынка: </w:t>
            </w:r>
          </w:p>
          <w:p w:rsidR="007E3919" w:rsidRPr="007E3919" w:rsidRDefault="007E3919" w:rsidP="007E3919">
            <w:pPr>
              <w:spacing w:before="0" w:beforeAutospacing="0" w:after="0" w:afterAutospacing="0"/>
            </w:pPr>
            <w:proofErr w:type="gramStart"/>
            <w:r w:rsidRPr="007E3919">
              <w:t xml:space="preserve">направлено 835 претензий на общую сумму 33 120 тыс. руб., в том числе по арендной плате – 27 103 тыс. руб. </w:t>
            </w:r>
            <w:r w:rsidRPr="007E3919">
              <w:br/>
              <w:t xml:space="preserve">В добровольном порядке должниками оплачена задолженность по арендной плате и пени по претензиям на общую сумму 5 052 тыс. руб. </w:t>
            </w:r>
            <w:r w:rsidRPr="007E3919">
              <w:br/>
            </w:r>
            <w:r w:rsidRPr="007E3919">
              <w:lastRenderedPageBreak/>
              <w:t>В 2020 году сумма, поступившая в счет исполнения судебных актов, составила 967 тыс. руб.</w:t>
            </w:r>
            <w:r w:rsidRPr="007E3919">
              <w:br/>
              <w:t>Уточнены получатели платежей по договорам аренды</w:t>
            </w:r>
            <w:proofErr w:type="gramEnd"/>
            <w:r w:rsidRPr="007E3919">
              <w:t xml:space="preserve"> </w:t>
            </w:r>
            <w:proofErr w:type="gramStart"/>
            <w:r w:rsidRPr="007E3919">
              <w:t>земельных участков через запросы УФК по Самарской области (отработано невыясненных документов на сумму 7 493 тыс. руб. согласно заявлений плательщиков данных платежей);</w:t>
            </w:r>
            <w:r w:rsidRPr="007E3919">
              <w:br/>
              <w:t xml:space="preserve">Подготовлены расчеты исков для взыскания задолженности в судебном порядке на общую сумму 5 536 тыс. руб., из которых 2 иска на общую сумму 3 265 тыс. руб. находятся на рассмотрении судов. </w:t>
            </w:r>
            <w:proofErr w:type="gramEnd"/>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lastRenderedPageBreak/>
              <w:t>1.5</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оптимизировать количество свободных (неиспользуемых) муниципальных помещений с целью уменьшения затрат на их содержание;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Объявлено 150 аукционов на право заключения договоров аренды нежилых помещений на объекты общей площадью 15 778,18 кв. м.</w:t>
            </w:r>
            <w:r w:rsidRPr="007E3919">
              <w:br/>
              <w:t>В Программу приватизации муниципального имущества городского округа Тольятти на 2020 год было включено 49 объектов недвижимости, а именно:</w:t>
            </w:r>
            <w:r w:rsidRPr="007E3919">
              <w:br/>
              <w:t>- 47 объектов недвижимости (аукцион);</w:t>
            </w:r>
            <w:r w:rsidRPr="007E3919">
              <w:br/>
              <w:t>- 2 объекта недвижимости (конкурс).</w:t>
            </w:r>
            <w:r w:rsidRPr="007E3919">
              <w:br/>
              <w:t>В целях реализации Программы приватизации было проведено:</w:t>
            </w:r>
            <w:r w:rsidRPr="007E3919">
              <w:br/>
              <w:t>- 127 торгов на продажу имущества (49 торгов первично и 78 торгов повторно);</w:t>
            </w:r>
            <w:r w:rsidRPr="007E3919">
              <w:br/>
              <w:t>- заключено 5 муниципальных контрактов на выполнение работ по определению рыночной стоимости 49 объектов.</w:t>
            </w:r>
            <w:r w:rsidRPr="007E3919">
              <w:br/>
              <w:t>По итогам 2020 года:</w:t>
            </w:r>
            <w:r w:rsidRPr="007E3919">
              <w:br/>
              <w:t>- 23 объекта недвижимости проданы;</w:t>
            </w:r>
            <w:r w:rsidRPr="007E3919">
              <w:br/>
              <w:t>- в отношении 7 объектов недвижимости (включенных в Программу приватизации на 2020 год, торги по которым были признаны несостоявшимися) проведены аукционы на право аренды.</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1.6</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запланировать мероприятия по проектированию и строительству улицы Калмыцкой на участке от </w:t>
            </w:r>
            <w:r w:rsidRPr="007E3919">
              <w:lastRenderedPageBreak/>
              <w:t xml:space="preserve">Южного шоссе до </w:t>
            </w:r>
            <w:proofErr w:type="spellStart"/>
            <w:r w:rsidRPr="007E3919">
              <w:t>ул</w:t>
            </w:r>
            <w:proofErr w:type="gramStart"/>
            <w:r w:rsidRPr="007E3919">
              <w:t>.Н</w:t>
            </w:r>
            <w:proofErr w:type="gramEnd"/>
            <w:r w:rsidRPr="007E3919">
              <w:t>овозаводской</w:t>
            </w:r>
            <w:proofErr w:type="spellEnd"/>
            <w:r w:rsidRPr="007E3919">
              <w:t xml:space="preserve"> в целях оптимизации транспортных потоков Центрального района городского округа Тольятти;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proofErr w:type="gramStart"/>
            <w:r w:rsidRPr="007E3919">
              <w:lastRenderedPageBreak/>
              <w:t xml:space="preserve">Постановлением администрации городского округа Тольятти от 06.02.2019 № 254-п/1 «Об утверждении проекта планировки </w:t>
            </w:r>
            <w:r w:rsidRPr="007E3919">
              <w:lastRenderedPageBreak/>
              <w:t xml:space="preserve">территории и проекта межевания территории для размещения линейного объекта ул. Калмыцкая от Автозаводского шоссе до ул. Васильевская» утвержден проект территории и проект межевания указанной территории, в целях размещения магистральной дороги регулируемого движения. </w:t>
            </w:r>
            <w:proofErr w:type="gramEnd"/>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lastRenderedPageBreak/>
              <w:t>1.7</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актуализировать карту-схему территорий, на которые утверждена документация по планировке территории, размещенную на портале администрации городского округа Тольятти;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Карта-схема территорий, на которые утверждена документация по планировке территории, размещенная на портале администрации городского округа Тольятти, актуализирована. </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1.8</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принимать своевременные меры по наполнению доходной части бюджета городского округа от размещения рекламы в соответствии с полномочиями администрации городского округа Тольятти;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В 2020 году по действующим договорам на установку и эксплуатацию рекламных конструкций в бюджет городского округа Тольятти поступило 34 740 тыс. рублей (план – 35 555 тыс. рублей). Выполнение плана за 2020 г. составляет 97,7 %.</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1.9</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осуществлять взаимодействие с министерством имущественных отношений Самарской области в отношении выявления и демонтажа незаконно установленных рекламных конструкций;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Администрацией городского округа Тольятти за 2020 год в министерство имущественных отношений Самарской области направлено 102 обращения по вопросу законности размещения 249 рекламных конструкций. </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1.10</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принять меры по утверждению порядка инвентаризации зеленых насаждений;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Проект постановления «Об утверждении порядка инвентаризации и паспортизации зеленых насаждений городского округа Тольятти» разработан и проходил процедуру согласования в структурных подразделениях администрации. </w:t>
            </w:r>
            <w:proofErr w:type="gramStart"/>
            <w:r w:rsidRPr="007E3919">
              <w:t xml:space="preserve">Однако, в связи с тем, что в 2020 году разработаны изменения в Правила благоустройства территории городского округа Тольятти (далее - Правила), утвержденные решением Думы городского округа Тольятти от 04.07.2018 № 1789, учитывающие изменения в части охраны, содержания и создания зеленых насаждений, завершение работы по утверждению порядка инвентаризации зеленых насаждений планируется в 2021 году, по </w:t>
            </w:r>
            <w:r w:rsidRPr="007E3919">
              <w:lastRenderedPageBreak/>
              <w:t xml:space="preserve">итогам утверждения изменений в Правила. </w:t>
            </w:r>
            <w:proofErr w:type="gramEnd"/>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lastRenderedPageBreak/>
              <w:t>1.11</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предусмотреть в бюджете городского округа Тольятти денежные средства на проведение инвентаризации зеленых насаждений на территории городского округа Тольятти;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pPr>
              <w:spacing w:before="0" w:beforeAutospacing="0" w:after="0" w:afterAutospacing="0"/>
            </w:pPr>
            <w:r w:rsidRPr="007E3919">
              <w:t>Планирование расходов возможно при наличии утвержденных нормативно-правовых актов.</w:t>
            </w:r>
            <w:r w:rsidRPr="007E3919">
              <w:br/>
              <w:t xml:space="preserve">В 2020 году разработаны изменения в Правила благоустройства территории городского округа Тольятти (далее - Правила), утвержденные решением Думы городского округа Тольятти от 04.07.2018 № 1789. </w:t>
            </w:r>
          </w:p>
          <w:p w:rsidR="007E3919" w:rsidRPr="007E3919" w:rsidRDefault="007E3919" w:rsidP="007E3919">
            <w:pPr>
              <w:spacing w:before="0" w:beforeAutospacing="0" w:after="0" w:afterAutospacing="0"/>
            </w:pPr>
            <w:r w:rsidRPr="007E3919">
              <w:t xml:space="preserve">Принятие изменений в Правила, предусматривающие в том числе, изменения в части охраны, содержания и создания зеленых насаждений, позволит разработать Порядок инвентаризации зеленых насаждений, дающий возможность планировать расходы. </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1.12</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провести мероприятия по легализации незаконных автостоянок и заключению соответствующих договоров аренды земельных участков;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proofErr w:type="gramStart"/>
            <w:r w:rsidRPr="007E3919">
              <w:t>Согласно ст. 2 Федерального закона от 28.12.2009 № 381-ФЗ «Об основах государственного регулирования торговой деятельности в Российской Федерации»:</w:t>
            </w:r>
            <w:r w:rsidRPr="007E3919">
              <w:br/>
              <w:t>- торговая деятельность - вид предпринимательской деятельности, связанный с приобретением и продажей товаров;</w:t>
            </w:r>
            <w:r w:rsidRPr="007E3919">
              <w:br/>
              <w:t>-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roofErr w:type="gramEnd"/>
            <w:r w:rsidRPr="007E3919">
              <w:br/>
              <w:t>-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r w:rsidRPr="007E3919">
              <w:br/>
              <w:t xml:space="preserve">-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w:t>
            </w:r>
            <w:r w:rsidRPr="007E3919">
              <w:lastRenderedPageBreak/>
              <w:t>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sidRPr="007E3919">
              <w:br/>
              <w:t>В соответствии со ст. 2 постановления Правительства РФ от 17.11.2001 № 795 «Об утверждении Правил оказания услуг автостоянок» 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r w:rsidRPr="007E3919">
              <w:br/>
            </w:r>
            <w:proofErr w:type="gramStart"/>
            <w:r w:rsidRPr="007E3919">
              <w:t>Таким образом, автостоянка не является нестационарным торговым объектом и не относится к сфере регулирования Федерального закона от 28.12.2009 № 381-ФЗ «Об основах государственного регулирования торговой деятельности в Российской Федерации», постановления Правительства Самарской области от 02.08.2016 № 426 «О реализации отдельных полномочий в области государственного регулирования торговой деятельности», а также приказа министерства промышленности и торговли Самарской области от 17.06.2019 № 87-п «Об утверждении Порядка</w:t>
            </w:r>
            <w:proofErr w:type="gramEnd"/>
            <w:r w:rsidRPr="007E3919">
              <w:t xml:space="preserve"> разработки и утверждения схемы размещения нестационарных торговых объектов на территории Самарской области».</w:t>
            </w:r>
          </w:p>
        </w:tc>
      </w:tr>
      <w:tr w:rsidR="007E3919" w:rsidRPr="007E3919" w:rsidTr="002D22B8">
        <w:trPr>
          <w:trHeight w:val="680"/>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lastRenderedPageBreak/>
              <w:t>1.13</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продолжить работу по выявлению на территории городского округа Тольятти </w:t>
            </w:r>
            <w:proofErr w:type="spellStart"/>
            <w:r w:rsidRPr="007E3919">
              <w:t>безхозяйных</w:t>
            </w:r>
            <w:proofErr w:type="spellEnd"/>
            <w:r w:rsidRPr="007E3919">
              <w:t xml:space="preserve"> объектов капитального строительства, объектов, не эксплуатируемых длительное время, объектов незавершенного строительства с целью принятия возможных мер, в соответствии с действующим законодательством Российской Федерации, по сокращению количества данных объектов на территории городского округа Тольятти;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2D22B8" w:rsidRDefault="007E3919" w:rsidP="002D22B8">
            <w:pPr>
              <w:spacing w:before="0" w:beforeAutospacing="0" w:after="0" w:afterAutospacing="0"/>
            </w:pPr>
            <w:r w:rsidRPr="007E3919">
              <w:t xml:space="preserve">Действующим законодательством в области градостроительства конкретные меры или возможные действия органов местного самоуправления, направленные на понуждение правообладателей объектов незавершенного строительства к завершению строительства и вводу их в эксплуатацию, не предусмотрены. </w:t>
            </w:r>
            <w:r w:rsidRPr="007E3919">
              <w:br/>
            </w:r>
            <w:proofErr w:type="gramStart"/>
            <w:r w:rsidRPr="007E3919">
              <w:t xml:space="preserve">Тем не менее, с правообладателями объектов незавершенного строительства администрация городского округа Тольятти находится в постоянном взаимодействии по вопросам содержания объектов незавершенного строительства в надлежащем состоянии, не угрожающем жизни и здоровью граждан, а также о планируемых </w:t>
            </w:r>
            <w:r w:rsidRPr="007E3919">
              <w:lastRenderedPageBreak/>
              <w:t>мероприятиях и сроках по завершению строительства объектов, ведется профилактическая работа с правообладателями по недопущению нарушений законодательства о градостроительной деятельности.</w:t>
            </w:r>
            <w:proofErr w:type="gramEnd"/>
            <w:r w:rsidRPr="007E3919">
              <w:t xml:space="preserve"> </w:t>
            </w:r>
            <w:r w:rsidRPr="007E3919">
              <w:br/>
            </w:r>
            <w:proofErr w:type="gramStart"/>
            <w:r w:rsidRPr="007E3919">
              <w:t>В связи с этим, в адрес правообладателей направляются уведомления о принятии мер по обеспечению соблюдения требований Федерального закона от 30.12.2009 № 384 «Технический регламент о безопасности зданий и сооружений» и Правил благоустройства территории городского округа Тольятти, утверждённых решением Думы городского округа Тольятти от 04.07.2018 № 1789, а также о предоставлении информации о планируемых мероприятиях и сроках завершения строительства.</w:t>
            </w:r>
            <w:proofErr w:type="gramEnd"/>
            <w:r w:rsidRPr="007E3919">
              <w:t xml:space="preserve"> </w:t>
            </w:r>
            <w:r w:rsidRPr="007E3919">
              <w:br/>
              <w:t xml:space="preserve">В случае непринятия мер правообладателями, информация о нарушениях направляется в уполномоченные органы (прокуратуру, государственную инспекцию строительного надзора по Самарской области) для привлечения нарушителей к ответственности в соответствии с действующим законодательством. В рамках имеющихся полномочий, администрацией городского округа Тольятти предпринимаются все возможные меры по сокращению количества объектов незавершенного строительства на территории </w:t>
            </w:r>
            <w:r w:rsidR="002D22B8">
              <w:t>городского округа</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lastRenderedPageBreak/>
              <w:t>1.14</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продолжить работу по своевременной организации и выполнению необходимых мероприятий по строительству на территории городского округа Тольятти объектов социального назначения и соблюдению запланированных сроков завершения строительства;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pPr>
              <w:spacing w:before="0" w:beforeAutospacing="0" w:after="0" w:afterAutospacing="0"/>
            </w:pPr>
            <w:r w:rsidRPr="007E3919">
              <w:t>В 2020 году была продолжена работа по своевременной организации и выполнению необходимых мероприятий по строительству на территории городского округа Тольятти объектов социального назначения и соблюдению запланированных сроков завершения строительства.</w:t>
            </w:r>
            <w:r w:rsidRPr="007E3919">
              <w:br/>
              <w:t>Сданы в эксплуатацию следующие объекты:</w:t>
            </w:r>
            <w:r w:rsidRPr="007E3919">
              <w:br/>
              <w:t xml:space="preserve">- «Детский сад, расположенный по адресу: Самарская область,          г. Тольятти, Комсомольский район, </w:t>
            </w:r>
            <w:proofErr w:type="spellStart"/>
            <w:r w:rsidRPr="007E3919">
              <w:t>мкр</w:t>
            </w:r>
            <w:proofErr w:type="spellEnd"/>
            <w:r w:rsidRPr="007E3919">
              <w:t xml:space="preserve">. Жигулевское море», </w:t>
            </w:r>
            <w:r w:rsidRPr="007E3919">
              <w:lastRenderedPageBreak/>
              <w:t xml:space="preserve">получено разрешение на ввод объекта от 14.02.2020 № 63-302000-302-2018; </w:t>
            </w:r>
            <w:r w:rsidRPr="007E3919">
              <w:br/>
              <w:t xml:space="preserve">- «Проектирование и строительство объектов муниципальной собственности: здания детского сада № 210 «Ладушки» в 20 квартале Автозаводского района, расположенного южнее жилого дома, имеющего адрес: Южное шоссе, 43», получено разрешение на ввод объекта в эксплуатацию от 07.07.2020 № 63-30200-206-2019; </w:t>
            </w:r>
            <w:r w:rsidRPr="007E3919">
              <w:br/>
              <w:t xml:space="preserve">- «Выставочный зал в честь 50-летия </w:t>
            </w:r>
            <w:proofErr w:type="spellStart"/>
            <w:r w:rsidRPr="007E3919">
              <w:t>АВТОВАЗа</w:t>
            </w:r>
            <w:proofErr w:type="spellEnd"/>
            <w:r w:rsidRPr="007E3919">
              <w:t xml:space="preserve"> и выпуска первого легкового автомобиля со сквером, игровыми площадками и фонтаном», получено разрешение на ввод объекта в эксплуатацию 30.03.2020 № 63-302000-26-2020;</w:t>
            </w:r>
            <w:r w:rsidRPr="007E3919">
              <w:br/>
              <w:t>- «Проектирование и строительство физкультурно-спортивного комплекса в 21 квартале Автозаводского района для МБУДО СДЮСШОР N 7 «Акробат» получено разрешение на ввод объекта в эксплуатацию от 10.12.2020 № № 63-302000-110-2019.</w:t>
            </w:r>
            <w:r w:rsidRPr="007E3919">
              <w:br/>
              <w:t xml:space="preserve">Работа по строительству объектов социального назначения будет продолжена в 2021 году. </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lastRenderedPageBreak/>
              <w:t>1.15</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принять меры по своевременной реализации в период благоприятных погодных условий мероприятий по благоустройству внутриквартальных территорий и общественных территорий городского округа Тольятти;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proofErr w:type="gramStart"/>
            <w:r w:rsidRPr="007E3919">
              <w:t>В 2020 году все работы по благоустройству дворовых и общественных территорий в рамках реализации муниципальной программы «Формирование современной городской среды», утвержденной постановлением администрации от 11.12.2017 № 4013-п/1, а также реализация общественных проектов по благоустройству территорий городского округа Тольятти, предусмотренных государственной программой Самарской области «Поддержка инициатив населения муниципальных образований в Самарской области» на 2017 - 2025 годы» и работы по ремонту дворовых</w:t>
            </w:r>
            <w:proofErr w:type="gramEnd"/>
            <w:r w:rsidRPr="007E3919">
              <w:t xml:space="preserve"> территорий многоквартирных домов, проездов к дворовым территориям многоквартирных домов, в рамках муниципальной программы «Развитие транспортной системы и дорожного хозяйства </w:t>
            </w:r>
            <w:r w:rsidRPr="007E3919">
              <w:lastRenderedPageBreak/>
              <w:t>городского округа Тольятти на 2021 - 2025 гг.», утвержденной постановлением администрации городского округа Тольятти Самарской области от 14.10.2020 № 3118-п/1, выполнены в благоприятный погодный период.</w:t>
            </w:r>
            <w:r w:rsidRPr="007E3919">
              <w:br/>
              <w:t xml:space="preserve">При этом, специалистами администрации городского округа Тольятти в 2020 году, как и в предыдущие годы, в ежедневном режиме проводился мониторинг выполнения работ по благоустройству внутриквартальных и общественных территорий. </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lastRenderedPageBreak/>
              <w:t>1.16</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принять меры </w:t>
            </w:r>
            <w:proofErr w:type="gramStart"/>
            <w:r w:rsidRPr="007E3919">
              <w:t>по эффективной организации мероприятий при осуществлении деятельности по обращению с животными без владельцев</w:t>
            </w:r>
            <w:proofErr w:type="gramEnd"/>
            <w:r w:rsidRPr="007E3919">
              <w:t xml:space="preserve">;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pPr>
              <w:spacing w:before="0" w:beforeAutospacing="0" w:after="0" w:afterAutospacing="0"/>
              <w:jc w:val="both"/>
              <w:rPr>
                <w:bCs/>
              </w:rPr>
            </w:pPr>
            <w:proofErr w:type="gramStart"/>
            <w:r w:rsidRPr="007E3919">
              <w:t>Вопросы организации мероприятий в области обращения с животными без владельцев отнесены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согласно статьи 26.3 Федерального закона от 06.10.1999 № 184-ФЗ «Об общих принципах организации законодательных (представительных) и исполнительных органов власти субъектов Российской Федерации»).</w:t>
            </w:r>
            <w:proofErr w:type="gramEnd"/>
            <w:r w:rsidRPr="007E3919">
              <w:t xml:space="preserve"> </w:t>
            </w:r>
            <w:r w:rsidRPr="007E3919">
              <w:br/>
              <w:t xml:space="preserve">Законом Самарской области от 10.05.2018 № 36-ГД (далее - Закон) органы местного самоуправления наделены полномочиями по организации мероприятий при осуществлении деятельности по обращению с животными без владельцев (далее - Полномочия). В соответствии со статьей 6 Закона финансовые средства, необходимые органам местного самоуправления для осуществления Полномочий ежегодно предусматриваются законом Самарской области об областном бюджете на очередной финансовый год и плановый период в форме субвенций. </w:t>
            </w:r>
            <w:r w:rsidRPr="007E3919">
              <w:br/>
            </w:r>
            <w:proofErr w:type="gramStart"/>
            <w:r w:rsidRPr="007E3919">
              <w:t xml:space="preserve">В свою очередь, органы местного самоуправления городского округа имеют право на осуществление мероприятий по осуществлению деятельности по обращению с животными без владельцев, </w:t>
            </w:r>
            <w:r w:rsidRPr="007E3919">
              <w:lastRenderedPageBreak/>
              <w:t>обитающими на соответствующей территории согласно статьи 4 Закона, а также в соответствии со статьей 16.1 Федерального закона от 06.10.2003 № 131-ФЗ «Об общих принципах организации местного самоуправления в Российской Федерации».</w:t>
            </w:r>
            <w:proofErr w:type="gramEnd"/>
            <w:r w:rsidRPr="007E3919">
              <w:t xml:space="preserve"> </w:t>
            </w:r>
            <w:r w:rsidRPr="007E3919">
              <w:br/>
            </w:r>
            <w:r w:rsidRPr="007E3919">
              <w:rPr>
                <w:bCs/>
              </w:rPr>
              <w:t xml:space="preserve">На 2020 год городскому округу Тольятти, в соответствии с Законом Самарской области от 09.12.2019 № 125-ГД «Об областном бюджете на 2020 год и плановый период 2021 и 2022 годов», предусмотрены субвенции областного бюджета на исполнение Полномочий в сумме 1 880 тыс. руб., в </w:t>
            </w:r>
            <w:proofErr w:type="spellStart"/>
            <w:r w:rsidRPr="007E3919">
              <w:rPr>
                <w:bCs/>
              </w:rPr>
              <w:t>т.ч</w:t>
            </w:r>
            <w:proofErr w:type="spellEnd"/>
            <w:r w:rsidRPr="007E3919">
              <w:rPr>
                <w:bCs/>
              </w:rPr>
              <w:t xml:space="preserve">. 1,5% на администрирование. </w:t>
            </w:r>
          </w:p>
          <w:p w:rsidR="007E3919" w:rsidRPr="007E3919" w:rsidRDefault="007E3919" w:rsidP="007E3919">
            <w:pPr>
              <w:spacing w:before="0" w:beforeAutospacing="0" w:after="0" w:afterAutospacing="0"/>
              <w:rPr>
                <w:bCs/>
              </w:rPr>
            </w:pPr>
            <w:r w:rsidRPr="007E3919">
              <w:t xml:space="preserve">При этом </w:t>
            </w:r>
            <w:proofErr w:type="gramStart"/>
            <w:r w:rsidRPr="007E3919">
              <w:t>согласно статьи</w:t>
            </w:r>
            <w:proofErr w:type="gramEnd"/>
            <w:r w:rsidRPr="007E3919">
              <w:t xml:space="preserve"> 4 Закона,</w:t>
            </w:r>
            <w:r w:rsidRPr="007E3919">
              <w:rPr>
                <w:b/>
                <w:bCs/>
              </w:rPr>
              <w:t xml:space="preserve"> </w:t>
            </w:r>
            <w:r w:rsidRPr="007E3919">
              <w:rPr>
                <w:bCs/>
              </w:rPr>
              <w:t>о</w:t>
            </w:r>
            <w:r w:rsidRPr="007E3919">
              <w:t xml:space="preserve">рганы местного самоуправления вправе дополнительно использовать собственные материальные ресурсы и финансовые средства для осуществления Полномочий. Также, </w:t>
            </w:r>
            <w:proofErr w:type="gramStart"/>
            <w:r w:rsidRPr="007E3919">
              <w:t>согласно статьи</w:t>
            </w:r>
            <w:proofErr w:type="gramEnd"/>
            <w:r w:rsidRPr="007E3919">
              <w:t xml:space="preserve"> 16.1 Федерального закона от 06.10.2003 № 131-ФЗ «Об общих принципах организации местного самоуправления в Российской Федерации», органы местного самоуправления городского округа имеют право на осуществление мероприятий по осуществлению деятельности по обращению с животными без владельцев, обитающими на соответствующей территории. </w:t>
            </w:r>
            <w:proofErr w:type="gramStart"/>
            <w:r w:rsidRPr="007E3919">
              <w:t>В связи с чем, решением Думы городского округа Тольятти от 16.01.2019 № 124 принят порядок дополнительного использования средств бюджета городского округа Тольятти для осуществления Полномочий, согласно которого, в соответствии с решением Думы городского округа Тольятти от 11.12.2019 № 427 «О бюджете городского округа Тольятти на 2020 год и плановый период 2021 и 2022 годов» в</w:t>
            </w:r>
            <w:r w:rsidRPr="007E3919">
              <w:rPr>
                <w:bCs/>
              </w:rPr>
              <w:t xml:space="preserve"> бюджете городского округа Тольятти на 2020 год</w:t>
            </w:r>
            <w:proofErr w:type="gramEnd"/>
            <w:r w:rsidRPr="007E3919">
              <w:rPr>
                <w:bCs/>
              </w:rPr>
              <w:t xml:space="preserve"> на </w:t>
            </w:r>
            <w:proofErr w:type="spellStart"/>
            <w:r w:rsidRPr="007E3919">
              <w:rPr>
                <w:bCs/>
              </w:rPr>
              <w:t>софинансирование</w:t>
            </w:r>
            <w:proofErr w:type="spellEnd"/>
            <w:r w:rsidRPr="007E3919">
              <w:rPr>
                <w:bCs/>
              </w:rPr>
              <w:t xml:space="preserve"> Полномочий предусмотрены средства в размере 1 723 тыс. руб.</w:t>
            </w:r>
          </w:p>
          <w:p w:rsidR="007E3919" w:rsidRPr="007E3919" w:rsidRDefault="007E3919" w:rsidP="007E3919">
            <w:pPr>
              <w:spacing w:before="0" w:beforeAutospacing="0" w:after="0" w:afterAutospacing="0"/>
            </w:pPr>
            <w:r w:rsidRPr="007E3919">
              <w:t xml:space="preserve">16.03.2020 заключен муниципальный контракт с ИП </w:t>
            </w:r>
            <w:proofErr w:type="spellStart"/>
            <w:r w:rsidRPr="007E3919">
              <w:t>Белик</w:t>
            </w:r>
            <w:proofErr w:type="spellEnd"/>
            <w:r w:rsidRPr="007E3919">
              <w:t xml:space="preserve"> Т.В. (далее – Подрядчик) на оказание услуг по организации мероприятий при осуществлении деятельности по обращению с животными без </w:t>
            </w:r>
            <w:r w:rsidRPr="007E3919">
              <w:lastRenderedPageBreak/>
              <w:t>владельцев на сумму 3 575 тыс. руб. из них: 1852 тыс. руб. – средства областного бюджета; 1723 тыс. руб. – средства бюджета городского округа Тольятти.</w:t>
            </w:r>
          </w:p>
          <w:p w:rsidR="007E3919" w:rsidRPr="007E3919" w:rsidRDefault="007E3919" w:rsidP="007E3919">
            <w:pPr>
              <w:spacing w:before="0" w:beforeAutospacing="0" w:after="0" w:afterAutospacing="0"/>
            </w:pPr>
            <w:r w:rsidRPr="007E3919">
              <w:t xml:space="preserve">Срок окончания оказания услуг по контракту 28.12.2020. </w:t>
            </w:r>
          </w:p>
          <w:p w:rsidR="007E3919" w:rsidRPr="007E3919" w:rsidRDefault="007E3919" w:rsidP="007E3919">
            <w:pPr>
              <w:spacing w:before="0" w:beforeAutospacing="0" w:after="0" w:afterAutospacing="0"/>
              <w:rPr>
                <w:bCs/>
                <w:iCs/>
              </w:rPr>
            </w:pPr>
            <w:r w:rsidRPr="007E3919">
              <w:rPr>
                <w:bCs/>
                <w:iCs/>
              </w:rPr>
              <w:t>Приемка оказанных услуг осуществляется за каждое животное индивидуально, в зависимости от объема оказанной услуги. Услуга оказывается до полного освоения средств по контракту.</w:t>
            </w:r>
          </w:p>
          <w:p w:rsidR="007E3919" w:rsidRPr="007E3919" w:rsidRDefault="007E3919" w:rsidP="007E3919">
            <w:pPr>
              <w:spacing w:before="0" w:beforeAutospacing="0" w:after="0" w:afterAutospacing="0"/>
            </w:pPr>
            <w:r w:rsidRPr="007E3919">
              <w:t xml:space="preserve">Контракт исполнен. Подрядной организацией отловлено 642 животных без владельцев, фактически перечислены средства в размере 3575 тыс. руб. за оказание услуг по отлову и содержанию 580 животных без владельцев. В оплате за отлов и содержание 62 животных без владельцев Подрядчику отказано в связи с недостатком финансовых средств. </w:t>
            </w:r>
          </w:p>
          <w:p w:rsidR="007E3919" w:rsidRPr="007E3919" w:rsidRDefault="007E3919" w:rsidP="007E3919">
            <w:pPr>
              <w:spacing w:before="0" w:beforeAutospacing="0" w:after="0" w:afterAutospacing="0"/>
            </w:pPr>
            <w:r w:rsidRPr="007E3919">
              <w:t xml:space="preserve">В адрес департамента ветеринарии Самарской области, письмом от 13.11.2020 направлялся запрос о выделении дополнительных средств субвенций на осуществление Полномочий в 2020 году в размере 797 тыс. руб. (включая 1,5% на администрирование) на отлов и содержание дополнительно 100 животных без владельцев. </w:t>
            </w:r>
          </w:p>
          <w:p w:rsidR="007E3919" w:rsidRPr="007E3919" w:rsidRDefault="007E3919" w:rsidP="007E3919">
            <w:pPr>
              <w:spacing w:before="0" w:beforeAutospacing="0" w:after="0" w:afterAutospacing="0"/>
            </w:pPr>
            <w:r w:rsidRPr="007E3919">
              <w:t xml:space="preserve">Поступил отказ департамента ветеринарии Самарской области от 10.12.2020. </w:t>
            </w:r>
          </w:p>
          <w:p w:rsidR="007E3919" w:rsidRPr="007E3919" w:rsidRDefault="007E3919" w:rsidP="007E3919">
            <w:pPr>
              <w:spacing w:before="0" w:beforeAutospacing="0" w:after="0" w:afterAutospacing="0"/>
            </w:pPr>
            <w:r w:rsidRPr="007E3919">
              <w:t xml:space="preserve">Подрядчик в связи с неоплатой за оказанные в 2020 году услуги по отлову и содержанию 62 животных без владельцев вправе обратиться с иском в суд. </w:t>
            </w:r>
          </w:p>
          <w:p w:rsidR="007E3919" w:rsidRPr="007E3919" w:rsidRDefault="007E3919" w:rsidP="007E3919">
            <w:pPr>
              <w:spacing w:before="0" w:beforeAutospacing="0" w:after="0" w:afterAutospacing="0"/>
              <w:rPr>
                <w:b/>
                <w:bCs/>
              </w:rPr>
            </w:pPr>
            <w:proofErr w:type="gramStart"/>
            <w:r w:rsidRPr="007E3919">
              <w:t>В случае решения в судебном порядке вопроса об оплате Подрядчику в 2021 году средств за услуги, оказанные в 2020 году, администрацией городского округа Тольятти будет рассмотрен вопрос о привлечении соответчиком Правительства Самарской области, так как в соответствии с действующим законодательством, финансирование осуществления Полномочий органами  местного самоуправления возлагается на бюджет Самарской области.</w:t>
            </w:r>
            <w:proofErr w:type="gramEnd"/>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lastRenderedPageBreak/>
              <w:t>1.17</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принять меры по вывозу/демонтажу незаконно расположенных нестационарных торговых объектов, находящихся по адресам: Центральный район, </w:t>
            </w:r>
            <w:proofErr w:type="spellStart"/>
            <w:r w:rsidRPr="007E3919">
              <w:t>ул</w:t>
            </w:r>
            <w:proofErr w:type="gramStart"/>
            <w:r w:rsidRPr="007E3919">
              <w:t>.М</w:t>
            </w:r>
            <w:proofErr w:type="gramEnd"/>
            <w:r w:rsidRPr="007E3919">
              <w:t>ира</w:t>
            </w:r>
            <w:proofErr w:type="spellEnd"/>
            <w:r w:rsidRPr="007E3919">
              <w:t xml:space="preserve">, ООТ 71-й квартал («Поле </w:t>
            </w:r>
            <w:proofErr w:type="spellStart"/>
            <w:r w:rsidRPr="007E3919">
              <w:t>чудеc</w:t>
            </w:r>
            <w:proofErr w:type="spellEnd"/>
            <w:r w:rsidRPr="007E3919">
              <w:t xml:space="preserve">»); Центральный район, </w:t>
            </w:r>
            <w:proofErr w:type="spellStart"/>
            <w:r w:rsidRPr="007E3919">
              <w:t>ул.Мира</w:t>
            </w:r>
            <w:proofErr w:type="spellEnd"/>
            <w:r w:rsidRPr="007E3919">
              <w:t xml:space="preserve">, ООТ 73 квартал (троллейбусное депо);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В отношении незаконно размещенных нестационарных торговых объектов, по адресу: г. Тольятти, Центральный район, ул. Мира, ООТ 71-й квартал («Поле чудес») в 2020 году проведена работа с собственником объекта в результате чего, нестационарный торговый объект был демонтирован владельцем самостоятельно. </w:t>
            </w:r>
            <w:r w:rsidRPr="007E3919">
              <w:br/>
              <w:t>По адресу: Центральный район, ул. Мира, ООТ «Троллейбусное депо», на лицо, осуществляющего торговую деятельность в 2020 году направлены материалы в</w:t>
            </w:r>
            <w:proofErr w:type="gramStart"/>
            <w:r w:rsidRPr="007E3919">
              <w:t xml:space="preserve"> У</w:t>
            </w:r>
            <w:proofErr w:type="gramEnd"/>
            <w:r w:rsidRPr="007E3919">
              <w:t xml:space="preserve"> МВД России по г.Тольятти с целью проведения мероприятий по установлению и привлечению лица к административной ответственности по ст. 7.1 КоАП РФ. </w:t>
            </w:r>
            <w:r w:rsidRPr="007E3919">
              <w:br/>
              <w:t>Согласно полученному ответу из отдела полиции № 24</w:t>
            </w:r>
            <w:proofErr w:type="gramStart"/>
            <w:r w:rsidRPr="007E3919">
              <w:t xml:space="preserve"> У</w:t>
            </w:r>
            <w:proofErr w:type="gramEnd"/>
            <w:r w:rsidRPr="007E3919">
              <w:t xml:space="preserve"> МВД России по г.Тольятти проведена проверка, в ходе которой принято решение об отказе в возбуждении дела об административном правонарушении в связи с тем, что следов осуществления предпринимательской деятельности в данном павильоне не обнаружено.</w:t>
            </w:r>
            <w:r w:rsidRPr="007E3919">
              <w:br/>
              <w:t xml:space="preserve">09.04.2020 в адрес У МВД России по г. Тольятти администрацией городского округа Тольятти было направлено повторное обращение по установлению и привлечению к административной ответственности лица, незаконно использующего земельный участок. </w:t>
            </w:r>
            <w:r w:rsidRPr="007E3919">
              <w:br/>
              <w:t>С целью минимизации расходов бюджетных средств, принято решение о включение в Схему нестационарных торговых объектов с последующим заключением договора на размещение нестационарного торгового объекта.</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1.18</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принять меры по финансированию в 2020 году мероприятия «Разработка концептуальных решений по системе ливневой канализации </w:t>
            </w:r>
            <w:proofErr w:type="spellStart"/>
            <w:r w:rsidRPr="007E3919">
              <w:t>г.о</w:t>
            </w:r>
            <w:proofErr w:type="gramStart"/>
            <w:r w:rsidRPr="007E3919">
              <w:t>.Т</w:t>
            </w:r>
            <w:proofErr w:type="gramEnd"/>
            <w:r w:rsidRPr="007E3919">
              <w:t>ольятти</w:t>
            </w:r>
            <w:proofErr w:type="spellEnd"/>
            <w:r w:rsidRPr="007E3919">
              <w:t xml:space="preserve">»;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pPr>
              <w:spacing w:before="0" w:beforeAutospacing="0" w:after="0" w:afterAutospacing="0"/>
            </w:pPr>
            <w:proofErr w:type="gramStart"/>
            <w:r w:rsidRPr="007E3919">
              <w:t xml:space="preserve">Разработка принципиальной схемы (концепции) развития системы дождевой канализации городского округа Тольятти осуществляется в рамках муниципальной программы «Содержание и ремонт объектов и сетей инженерной инфраструктуры городского округа Тольятти на </w:t>
            </w:r>
            <w:r w:rsidRPr="007E3919">
              <w:lastRenderedPageBreak/>
              <w:t>2018-2022 годы», утвержденной постановлением администрации городского округа Тольятти от 04.08.2017 № 2674-п/1, при реализации мероприятия «Актуализация схем водоснабжения и водоотведения городского округа Тольятти», согласно постановления мэрии городского округа Тольятти от 31.12.2014 № 5010-п</w:t>
            </w:r>
            <w:proofErr w:type="gramEnd"/>
            <w:r w:rsidRPr="007E3919">
              <w:t xml:space="preserve">/1 «Об утверждении схем водоснабжения и водоотведения городского округа Тольятти на период с 2014 до 2028 года». </w:t>
            </w:r>
            <w:r w:rsidRPr="007E3919">
              <w:br/>
              <w:t>Техническим заданием к аукционной документации при разработке главы 2 «Схема водоотведения» предусмотрено: «Выполнение принципиальной схемы поверхностного водоотвода городского округа Тольятти с территорий существующей и перспективной застройки с определением объёмов дождевых сточных вод по водосборным бассейнам, вариантов трассировки водосточных сетей и местоположения перекачивающих насосных станций, локальных очистных сооружений с предоставлением графических материалов. Выполнение расчета стоимости проектных и строительно-монтажных работ сетей и сооружений».</w:t>
            </w:r>
            <w:r w:rsidRPr="007E3919">
              <w:br/>
              <w:t>По результатам аукциона, состоявшегося 17.01.2020, определен исполнитель мероприятия «Актуализации схем водоснабжения и водоотведения городского округа Тольятти» ФГБОУ ВО «</w:t>
            </w:r>
            <w:proofErr w:type="spellStart"/>
            <w:r w:rsidRPr="007E3919">
              <w:t>СамГТУ</w:t>
            </w:r>
            <w:proofErr w:type="spellEnd"/>
            <w:r w:rsidRPr="007E3919">
              <w:t>», срок выполнения работ – 16.11.2020.</w:t>
            </w:r>
            <w:r w:rsidRPr="007E3919">
              <w:br/>
              <w:t>Однако</w:t>
            </w:r>
            <w:proofErr w:type="gramStart"/>
            <w:r w:rsidRPr="007E3919">
              <w:t>,</w:t>
            </w:r>
            <w:proofErr w:type="gramEnd"/>
            <w:r w:rsidRPr="007E3919">
              <w:t xml:space="preserve"> в связи с введением временных мер по предотвращению распространения новой </w:t>
            </w:r>
            <w:proofErr w:type="spellStart"/>
            <w:r w:rsidRPr="007E3919">
              <w:t>коронавирусной</w:t>
            </w:r>
            <w:proofErr w:type="spellEnd"/>
            <w:r w:rsidRPr="007E3919">
              <w:t xml:space="preserve"> инфекции, изменен срок исполнения муниципального контракта </w:t>
            </w:r>
          </w:p>
          <w:p w:rsidR="007E3919" w:rsidRPr="007E3919" w:rsidRDefault="007E3919" w:rsidP="007E3919">
            <w:pPr>
              <w:spacing w:before="0" w:beforeAutospacing="0" w:after="0" w:afterAutospacing="0"/>
            </w:pPr>
            <w:r w:rsidRPr="007E3919">
              <w:t>№ 0842300004019000549_259977 от 04.02.2020 по актуализации Схем водоснабжения и водоотведения городского округа Тольятти до 07.04.2021, в соответствии с постановлением администрации городского округа Тольятти от 16.11.2020 № 3468-п/1.</w:t>
            </w:r>
            <w:r w:rsidRPr="007E3919">
              <w:br/>
              <w:t xml:space="preserve">Таким образом, завершение разработки принципиальной схемы (концепции) развития системы дождевой канализации городского </w:t>
            </w:r>
            <w:r w:rsidRPr="007E3919">
              <w:lastRenderedPageBreak/>
              <w:t xml:space="preserve">округа Тольятти, учитывающее строительство очистных сооружений дождевых (ливневых) вод Автозаводского района, планируется в апреле 2021 года. </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lastRenderedPageBreak/>
              <w:t>1.19</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провести разъяснительную работу с организациями муниципального сектора экономики по возможности и порядку участия в муниципальных торгах;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proofErr w:type="gramStart"/>
            <w:r w:rsidRPr="007E3919">
              <w:t>В рамках методического сопровождения деятельности заказчиков и участников закупок, в том числе муниципальных унитарных предприятий, акционерных обществ и муниципальных автономных учреждений, сотрудниками администрации городского округа Тольятти ведется работа по разъяснению действующего законодательства о закупках, осуществляется направление информационных, разъяснительных писем по вопросам, связанным с осуществлением закупок, а также консультирование по вопросам порядка участия в закупках и особенностях такого участия.</w:t>
            </w:r>
            <w:proofErr w:type="gramEnd"/>
            <w:r w:rsidRPr="007E3919">
              <w:t xml:space="preserve"> </w:t>
            </w:r>
            <w:r w:rsidRPr="007E3919">
              <w:br/>
              <w:t>В постоянном режиме ведется работа по размещению актуальной информации для заказчиков и участников закупок по вопросам, касающимся законодательства в сфере закупок, на специализированном ресурсе в сети «Интернет» - сайте www.mz.tgl.ru.</w:t>
            </w:r>
            <w:r w:rsidRPr="007E3919">
              <w:br/>
            </w:r>
            <w:proofErr w:type="gramStart"/>
            <w:r w:rsidRPr="007E3919">
              <w:t>Анализ информации, размещенной в единой информационной системе в сфере закупок, показал, что в 2020 году АО «ПО КХ», МП «Инвентаризатор», МУП «Пансионат «Звездный», МУП «</w:t>
            </w:r>
            <w:proofErr w:type="spellStart"/>
            <w:r w:rsidRPr="007E3919">
              <w:t>Спецкомбинат</w:t>
            </w:r>
            <w:proofErr w:type="spellEnd"/>
            <w:r w:rsidRPr="007E3919">
              <w:t xml:space="preserve"> ритуальных услуг», МП «ТТУ», МП «ТПАП №3», МАУ «МФЦ» и МАУ «Пансионат «Радуга» принимали участие в закупках муниципальных и государственных заказчиков (в том числе находящихся за пределами Самарской области), проводимых в рамках Федерального закона от</w:t>
            </w:r>
            <w:proofErr w:type="gramEnd"/>
            <w:r w:rsidRPr="007E3919">
              <w:t xml:space="preserve">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а также являлись победителями процедур </w:t>
            </w:r>
            <w:r w:rsidRPr="007E3919">
              <w:lastRenderedPageBreak/>
              <w:t>закупок, с которыми были заключены контракты.</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lastRenderedPageBreak/>
              <w:t>1.20</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обеспечить бесперебойную работу камер видеонаблюдения Интеллектуальной системы безопасности;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В 2020 году бесперебойную работу камер видеонаблюдения Интеллектуальной системы безопасности обеспечивало МАУ городского округа Тольятти «Многофункциональный центр предоставления государственных и муниципальных услуг». </w:t>
            </w:r>
            <w:proofErr w:type="gramStart"/>
            <w:r w:rsidRPr="007E3919">
              <w:t>В течение 2020 года были заключены договоры на услуги по техническому обслуживанию и ремонту системы видеонаблюдения ИС «Интеллектуальная система видеонаблюдения в городском округе Тольятти» для обеспечения бесперебойной работы на общую сумму 700 тыс. руб.</w:t>
            </w:r>
            <w:r w:rsidRPr="007E3919">
              <w:br/>
              <w:t>В 2020 году к ИС «Интеллектуальная система видеонаблюдения в городском округе Тольятти» были подключены камеры видеонаблюдения, установленные на территории:</w:t>
            </w:r>
            <w:proofErr w:type="gramEnd"/>
            <w:r w:rsidRPr="007E3919">
              <w:br/>
              <w:t xml:space="preserve">- </w:t>
            </w:r>
            <w:proofErr w:type="gramStart"/>
            <w:r w:rsidRPr="007E3919">
              <w:t>Итальянского сквера - 5 шт. Обзорные камеры установлены согласно муниципальному контракту, заключенному Департаментом городского хозяйства, и на стеле Гражданин-Полиция, установленной ООО «Твой Телеком»;</w:t>
            </w:r>
            <w:r w:rsidRPr="007E3919">
              <w:br/>
              <w:t xml:space="preserve">- Детской площадки (пересечение ул. Родины и ул. </w:t>
            </w:r>
            <w:proofErr w:type="spellStart"/>
            <w:r w:rsidRPr="007E3919">
              <w:t>Баныкина</w:t>
            </w:r>
            <w:proofErr w:type="spellEnd"/>
            <w:r w:rsidRPr="007E3919">
              <w:t>) - 2 шт. Обзорные камеры установлены согласно муниципальному контракту, заключенному Департаментом городского хозяйства;</w:t>
            </w:r>
            <w:r w:rsidRPr="007E3919">
              <w:br/>
              <w:t xml:space="preserve">- Парка Победы - 2 шт. Обзорные камеры, направленные на Памятник УМВД и Памятник Солдатке. </w:t>
            </w:r>
            <w:proofErr w:type="gramEnd"/>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1.21</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продолжить работу по развитию и содержанию знаковых и социально значимых мест, включенных в Перечень знаковых и социально значимых места городского округа Тольятти, утвержденный решением Думы городского округа Тольятти от 17.06.2015 № 750; </w:t>
            </w:r>
          </w:p>
        </w:tc>
        <w:tc>
          <w:tcPr>
            <w:tcW w:w="7277" w:type="dxa"/>
            <w:tcBorders>
              <w:top w:val="outset" w:sz="6" w:space="0" w:color="000000"/>
              <w:left w:val="outset" w:sz="6" w:space="0" w:color="000000"/>
              <w:bottom w:val="outset" w:sz="6" w:space="0" w:color="000000"/>
              <w:right w:val="outset" w:sz="6" w:space="0" w:color="000000"/>
            </w:tcBorders>
            <w:hideMark/>
          </w:tcPr>
          <w:p w:rsidR="00075C90" w:rsidRPr="00075C90" w:rsidRDefault="00075C90" w:rsidP="00075C90">
            <w:pPr>
              <w:spacing w:before="0" w:beforeAutospacing="0" w:after="0" w:afterAutospacing="0"/>
              <w:jc w:val="both"/>
            </w:pPr>
            <w:r w:rsidRPr="00075C90">
              <w:t xml:space="preserve">В соответствии с решением Думы городского округа Тольятти от 17.06.2015 № 750 утвержден перечень знаковых и социально значимых мест городского округа Тольятти, в который включено 327 объектов (далее – Перечень). Актуализированная информация о проведенной работе по развитию, содержанию знаковых и социально значимых мест и использованию бюджетных средств на указанные цели приводится ежегодном Отчете, направляемом в Думу </w:t>
            </w:r>
            <w:r w:rsidRPr="00075C90">
              <w:lastRenderedPageBreak/>
              <w:t xml:space="preserve">городского округа Тольятти в срок до 1 мая. В 2020 году подготовлен отчет за 2019 год, который направлен в Думу городского округа Тольятти 27.04.2020 (исх. № 3641/1). </w:t>
            </w:r>
            <w:proofErr w:type="gramStart"/>
            <w:r w:rsidRPr="00075C90">
              <w:t>Согласно направленному отчету, реализация мероприятий по обеспечению комплексного благоустройства и содержания знаковых и социально значимых мест осуществляется в соответствии с муниципальной программой «Благоустройство территории городского округа Тольятти на 2015 - 2024 годы», утвержденной постановлением мэрии городского округа Тольятти от 24.03.2015 № 905-п/1 (далее – МП Благоустройство), и, в соответствии с муниципальной программой «Тольятти – чистый город» на 2015–2019 годы, утвержденной постановлением мэрии городского</w:t>
            </w:r>
            <w:proofErr w:type="gramEnd"/>
            <w:r w:rsidRPr="00075C90">
              <w:t xml:space="preserve"> округа Тольятти от 09.10.2014 </w:t>
            </w:r>
            <w:r>
              <w:t xml:space="preserve">   </w:t>
            </w:r>
            <w:bookmarkStart w:id="0" w:name="_GoBack"/>
            <w:bookmarkEnd w:id="0"/>
            <w:r w:rsidRPr="00075C90">
              <w:t xml:space="preserve">№ 3796-п/1, в рамках бюджетного финансирования. </w:t>
            </w:r>
          </w:p>
          <w:p w:rsidR="00075C90" w:rsidRPr="00075C90" w:rsidRDefault="00075C90" w:rsidP="00075C90">
            <w:pPr>
              <w:spacing w:before="0" w:beforeAutospacing="0" w:after="0" w:afterAutospacing="0"/>
              <w:jc w:val="both"/>
            </w:pPr>
            <w:r w:rsidRPr="00075C90">
              <w:t>В 2020 году, в рамках МП Благоустройство, выполнены мероприятия по благоустройству Парка культуры и отдыха Комсомольского района, а также осуществлен ремонт освещения территории в Парке Победы.</w:t>
            </w:r>
          </w:p>
          <w:p w:rsidR="00075C90" w:rsidRPr="00075C90" w:rsidRDefault="00075C90" w:rsidP="00075C90">
            <w:pPr>
              <w:spacing w:before="0" w:beforeAutospacing="0" w:after="0" w:afterAutospacing="0"/>
              <w:jc w:val="both"/>
            </w:pPr>
            <w:proofErr w:type="gramStart"/>
            <w:r w:rsidRPr="00075C90">
              <w:t xml:space="preserve">В рамках исполнения муниципальной программы «Тольятти – чистый город» на 2020–2024 годы, утвержденной постановлением мэрии городского округа Тольятти от 02.08.2019 № 2078-п/1, выполнены работы по комплексному содержанию территорий жилых кварталов и площадок семейного отдыха, расположенных в Автозаводском, Комсомольском районах, </w:t>
            </w:r>
            <w:proofErr w:type="spellStart"/>
            <w:r w:rsidRPr="00075C90">
              <w:t>мкр</w:t>
            </w:r>
            <w:proofErr w:type="spellEnd"/>
            <w:r w:rsidRPr="00075C90">
              <w:t>.</w:t>
            </w:r>
            <w:proofErr w:type="gramEnd"/>
            <w:r w:rsidRPr="00075C90">
              <w:t xml:space="preserve"> Федоровка, а также в </w:t>
            </w:r>
            <w:proofErr w:type="spellStart"/>
            <w:r w:rsidRPr="00075C90">
              <w:t>мкр</w:t>
            </w:r>
            <w:proofErr w:type="spellEnd"/>
            <w:r w:rsidRPr="00075C90">
              <w:t>. Поволжский городского округа Тольятти, проведены работы по содержанию 116 объектов, включенных в Перечень. При реализации мероприятия «Текущий ремонт памятных мест, в том числе посадка и содержание зеленых насаждений» выполнены мероприятия по благоустройству 22 объектов. В рамках муниципального задания МБУ городского округа Тольятти «</w:t>
            </w:r>
            <w:proofErr w:type="spellStart"/>
            <w:r w:rsidRPr="00075C90">
              <w:t>Зеленстрой</w:t>
            </w:r>
            <w:proofErr w:type="spellEnd"/>
            <w:r w:rsidRPr="00075C90">
              <w:t xml:space="preserve">», выполнены работы по санитарному содержанию территорий жилых кварталов, </w:t>
            </w:r>
            <w:r w:rsidRPr="00075C90">
              <w:lastRenderedPageBreak/>
              <w:t xml:space="preserve">рекреационных зон Центрального района, набережной Комсомольского района, городских фонтанов, а также выполнены работы по содержанию территорий парков городского округа Тольятти и расположенных на них знаковых и социально значимых мест. Кроме того, в отчетном периоде, бюджетным учреждением выполнены мероприятия по праздничному оформлению городского округа Тольятти - вывешивание флагов к празднованию Дня Победы и Дня города, уходу за цветниками, газонами и зелеными насаждениями. </w:t>
            </w:r>
          </w:p>
          <w:p w:rsidR="007E3919" w:rsidRPr="007E3919" w:rsidRDefault="00075C90" w:rsidP="00075C90">
            <w:pPr>
              <w:spacing w:before="0" w:beforeAutospacing="0" w:after="0" w:afterAutospacing="0"/>
            </w:pPr>
            <w:r w:rsidRPr="00075C90">
              <w:t>В рамках муниципальной программы «Формирование современной городской среды на 2018-2024 годы», утвержденной постановлением администрации городского округа Тольятти от 11.12.2017 № 4013-п/1, выполнены мероприятия по благоустройству пяти объектов, включенных в Перечень.</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lastRenderedPageBreak/>
              <w:t>1.22</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принять меры по устранению и недопущению нарушений, выявленных контрольно-счетной палатой городского округа Тольятти;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pPr>
              <w:spacing w:before="0" w:beforeAutospacing="0" w:after="0" w:afterAutospacing="0"/>
            </w:pPr>
            <w:proofErr w:type="gramStart"/>
            <w:r w:rsidRPr="007E3919">
              <w:t xml:space="preserve">В 2020 году контрольно-счетной палатой городского округа Тольятти были проведены проверки финансово-хозяйственной деятельности отраслевых (функциональных) органов администрации городского округа Тольятти и подведомственных им организаций: </w:t>
            </w:r>
            <w:r w:rsidRPr="007E3919">
              <w:br/>
              <w:t>- департамента управления муниципальным имуществом – в части формирования и перечисления в бюджет городского округа Тольятти части прибыли, полученной муниципальным предприятием городского округа Тольятти «Инвентаризатор», и соблюдения установленного порядка управления и распоряжения муниципальным имуществом за 2018 год;</w:t>
            </w:r>
            <w:proofErr w:type="gramEnd"/>
            <w:r w:rsidRPr="007E3919">
              <w:br/>
              <w:t>- департамента дорожного хозяйства и транспорта – в части целевого и эффективного использования бюджетных сре</w:t>
            </w:r>
            <w:proofErr w:type="gramStart"/>
            <w:r w:rsidRPr="007E3919">
              <w:t>дств в р</w:t>
            </w:r>
            <w:proofErr w:type="gramEnd"/>
            <w:r w:rsidRPr="007E3919">
              <w:t xml:space="preserve">амках подпрограммы «Модернизация и развитие автомобильных дорог общего пользования местного значения городского округа Тольятти на 2014-2020 годы» муниципальной программы «Развитие </w:t>
            </w:r>
            <w:r w:rsidRPr="007E3919">
              <w:lastRenderedPageBreak/>
              <w:t>транспортной системы и дорожного хозяйства городского округа Тольятти на 2014-2020 годы», за 2019 год;</w:t>
            </w:r>
            <w:r w:rsidRPr="007E3919">
              <w:br/>
              <w:t>- департамента градостроительной деятельности – в части целевого и эффективного использования средств департаментом в 2017-2019 годах;</w:t>
            </w:r>
            <w:r w:rsidRPr="007E3919">
              <w:br/>
              <w:t xml:space="preserve">- </w:t>
            </w:r>
            <w:proofErr w:type="gramStart"/>
            <w:r w:rsidRPr="007E3919">
              <w:t>департамента городского хозяйства: в части формирования и перечисления в бюджет городского округа Тольятти доходов и дивидендов по акциям, находящимся в собственности городского округа по итогам 2018 года и соблюдения установленного порядка управления и распоряжения муниципальным имуществом, переданным в пользование АО «Муниципальное управление жилищно-коммунального хозяйства», по проверке формирования и перечисления в бюджет городского округа Тольятти части прибыли, полученной муниципальным предприятием городского</w:t>
            </w:r>
            <w:proofErr w:type="gramEnd"/>
            <w:r w:rsidRPr="007E3919">
              <w:t xml:space="preserve"> округа Тольятти «Управляющая компания № 4», и соблюдения установленного порядка управления и распоряжения муниципальным имуществом, переданным в пользование муниципальному предприятию, за 2018, 2019 годы и 6 месяцев 2020 года;</w:t>
            </w:r>
            <w:r w:rsidRPr="007E3919">
              <w:br/>
              <w:t xml:space="preserve">- департамента культуры: в части целевого и эффективного использования бюджетных средств, средств, полученных от приносящей доход деятельности, и соблюдения установленного порядка управления и распоряжения муниципальным имуществом МБУ ДО «Школа искусств Центрального района» городского округа Тольятти, МАУИ городского округа Тольятти «Драматический театр «Колесо» имени народного артиста России Глеба Борисовича Дроздова» за 2018 - 2019 годы, МБОУ </w:t>
            </w:r>
            <w:proofErr w:type="gramStart"/>
            <w:r w:rsidRPr="007E3919">
              <w:t>ВО</w:t>
            </w:r>
            <w:proofErr w:type="gramEnd"/>
            <w:r w:rsidRPr="007E3919">
              <w:t xml:space="preserve"> городского округа Тольятти «Тольяттинская консерватория» за 2017 - 2019 годы;</w:t>
            </w:r>
            <w:r w:rsidRPr="007E3919">
              <w:br/>
              <w:t xml:space="preserve">- управления физической культуры и спорта - в части целевого и эффективного использования бюджетных средств, средств, </w:t>
            </w:r>
            <w:r w:rsidRPr="007E3919">
              <w:lastRenderedPageBreak/>
              <w:t>полученных от приносящей доход деятельности, и соблюдения установленного порядка управления и распоряжения муниципальным имуществом МБУ СШОР № 13 «Волгарь» за 2017-2019 годы, МБУ СШОР № 2 «Красные крылья» за 2018-2019 годы.</w:t>
            </w:r>
            <w:r w:rsidRPr="007E3919">
              <w:br/>
              <w:t>Внешняя проверка годового отчета городского округа Тольятти об исполнении бюджета городского округа Тольятти за 2019 год, экспертно-аналитические мероприятия проведены по всем отраслевым (функциональным) органам администрации.</w:t>
            </w:r>
            <w:r w:rsidRPr="007E3919">
              <w:br/>
            </w:r>
            <w:proofErr w:type="gramStart"/>
            <w:r w:rsidRPr="007E3919">
              <w:t>В результате проведения проверок были выявлены нарушения требований к ведению планов финансово-хозяйственной деятельности муниципальных учреждений, бухгалтерского учета, формирования бухгалтерской отчетности,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нарушения законодательства, муниципальных правовых и локальных актов учреждений по оплате труда, оформления результатов оказанных услуг и (или) выполненных</w:t>
            </w:r>
            <w:proofErr w:type="gramEnd"/>
            <w:r w:rsidRPr="007E3919">
              <w:t xml:space="preserve"> работ по содержанию общего имущества многоквартирных домов и другие нарушения. Установлены случаи не эффективного использования муниципального имущества, нарушения условий муниципальных контрактов, случаи не применения штрафных санкций за просрочку исполнения по муниципальным контрактам, недостатки при выборочной проверке ремонта дворовых территорий многоквартирных домов.</w:t>
            </w:r>
            <w:r w:rsidRPr="007E3919">
              <w:br/>
            </w:r>
            <w:proofErr w:type="gramStart"/>
            <w:r w:rsidRPr="007E3919">
              <w:t xml:space="preserve">По замечаниям и нарушениям, выявленным по результатам проверок, проведена работа по их устранению: внесены необходимые изменения в муниципальные правовые акты городского округа Тольятти, локальные акты муниципальных учреждений, бухгалтерская отчетность приведена в соответствие с действующим законодательством, главными распорядителями </w:t>
            </w:r>
            <w:r w:rsidRPr="007E3919">
              <w:lastRenderedPageBreak/>
              <w:t>бюджетных средств осуществляется контроль за устранением нарушений муниципальными учреждениями и предприятиями, находящимися в ведомственном подчинении, определены мероприятия по повышению эффективности управления акциями АО</w:t>
            </w:r>
            <w:proofErr w:type="gramEnd"/>
            <w:r w:rsidRPr="007E3919">
              <w:t xml:space="preserve"> «</w:t>
            </w:r>
            <w:proofErr w:type="gramStart"/>
            <w:r w:rsidRPr="007E3919">
              <w:t xml:space="preserve">Муниципальное управление жилищно-коммунального хозяйства», находящихся в муниципальной собственности, возбуждена </w:t>
            </w:r>
            <w:proofErr w:type="spellStart"/>
            <w:r w:rsidRPr="007E3919">
              <w:t>претензионно</w:t>
            </w:r>
            <w:proofErr w:type="spellEnd"/>
            <w:r w:rsidRPr="007E3919">
              <w:t xml:space="preserve"> - исковая работа, направленная на взыскание неосновательного обогащения, неустоек, исполнению гарантийных обязательств в отношении исполнителей и подрядчиков по муниципальным контрактам в сфере строительства, продолжена работа по оформлению права муниципальной собственности в отношении объектов теплоэнергетики ЗАО «ЖИЛОЙ ДОМ», ОАО «Электросеть» (в отношении четырнадцати объектов в судебном порядке признается право муниципальной собственности, в</w:t>
            </w:r>
            <w:proofErr w:type="gramEnd"/>
            <w:r w:rsidRPr="007E3919">
              <w:t xml:space="preserve"> </w:t>
            </w:r>
            <w:proofErr w:type="gramStart"/>
            <w:r w:rsidRPr="007E3919">
              <w:t xml:space="preserve">отношении десяти объектов подготовлена техническая документация и проводится процедура постановки на учет в качестве бесхозяйного имущества в Управление </w:t>
            </w:r>
            <w:proofErr w:type="spellStart"/>
            <w:r w:rsidRPr="007E3919">
              <w:t>Росреестра</w:t>
            </w:r>
            <w:proofErr w:type="spellEnd"/>
            <w:r w:rsidRPr="007E3919">
              <w:t xml:space="preserve"> по Самарской области, один объект включен в техническое задание на изготовление технической документации, необходимой для постановки на учет бесхозяйного имущества, на 2021 год) и другие мероприятия.</w:t>
            </w:r>
            <w:proofErr w:type="gramEnd"/>
            <w:r w:rsidRPr="007E3919">
              <w:t xml:space="preserve"> </w:t>
            </w:r>
            <w:r w:rsidRPr="007E3919">
              <w:br/>
            </w:r>
            <w:proofErr w:type="gramStart"/>
            <w:r w:rsidRPr="007E3919">
              <w:t>В результате замечаний и предложений, поступивших от контрольно-счетной палаты городского округа Тольятти, в рамках проведения финансово-экономической экспертизы проектов муниципальных правовых актов городского округа Тольятти (включая обоснованность финансово-экономических обоснований) в части, касающейся расходных обязательств городского округа, а также муниципальных программ, финансовое обеспечение муниципальных программ приведено в соответствие с утвержденными бюджетными ассигнованиями, усилен контроль за качеством направляемых проектов муниципальных правовых актов.</w:t>
            </w:r>
            <w:proofErr w:type="gramEnd"/>
            <w:r w:rsidRPr="007E3919">
              <w:br/>
            </w:r>
            <w:r w:rsidRPr="007E3919">
              <w:lastRenderedPageBreak/>
              <w:t xml:space="preserve">По результатам проведенных контрольно-счетной палатой городского округа Тольятти контрольных мероприятий, усилен внутренний финансовый контроль отраслевых (функциональных) органов администрации и подведомственных им организаций. В адрес контрольно-счетной палаты городского округа Тольятти представлены необходимые пояснения и информация о проведенных мероприятиях по устранению выявленных нарушений. </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lastRenderedPageBreak/>
              <w:t>1.23</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усилить </w:t>
            </w:r>
            <w:proofErr w:type="gramStart"/>
            <w:r w:rsidRPr="007E3919">
              <w:t>контроль за</w:t>
            </w:r>
            <w:proofErr w:type="gramEnd"/>
            <w:r w:rsidRPr="007E3919">
              <w:t xml:space="preserve"> работой структурных подразделений администрации городского округа Тольятти, не допускать повторных фактов нарушения законодательства о противодействии коррупции;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В администрации городского округа Тольятти структурным подразделением, уполномоченным на профилактику коррупционных правонарушений, является Отдел профилактики коррупционных и иных правонарушений Управления муниципальной службы и кадровой политики (далее – Отдел).</w:t>
            </w:r>
            <w:r w:rsidRPr="007E3919">
              <w:br/>
            </w:r>
            <w:proofErr w:type="gramStart"/>
            <w:r w:rsidRPr="007E3919">
              <w:t>Отделом, помимо проведения проверок по фактам нарушений муниципальными служащими антикоррупционного законодательства, проводятся проверки по всем фактам нарушений законодательства Российской Федерации, субъекта РФ, а также муниципальных нормативных актов, отраженным в поступивших актах прокурорского реагирования, актах, составленных контрольно-счетными органами, обращениях, жалобах граждан и юридических лиц и органов государственной власти, органов власти субъектов РФ.</w:t>
            </w:r>
            <w:proofErr w:type="gramEnd"/>
            <w:r w:rsidRPr="007E3919">
              <w:br/>
              <w:t>При подтверждении в ходе проверки фактов нарушений со стороны работников администрации городского округа Тольятти, рассматривается вопрос о применении к виновным лицам мер юридической ответственности.</w:t>
            </w:r>
            <w:r w:rsidRPr="007E3919">
              <w:br/>
              <w:t>Формами контроля за соблюдением муниципальными служащими законодательства в сфере противодействия коррупции, проводимого Отделом, являются:</w:t>
            </w:r>
            <w:r w:rsidRPr="007E3919">
              <w:br/>
              <w:t xml:space="preserve">- своевременное принятие мер по актам прокурорского реагирования </w:t>
            </w:r>
            <w:r w:rsidRPr="007E3919">
              <w:lastRenderedPageBreak/>
              <w:t>об устранении нарушений антикоррупционного законодательства</w:t>
            </w:r>
            <w:proofErr w:type="gramStart"/>
            <w:r w:rsidRPr="007E3919">
              <w:t>.</w:t>
            </w:r>
            <w:proofErr w:type="gramEnd"/>
            <w:r w:rsidRPr="007E3919">
              <w:br/>
              <w:t xml:space="preserve">- </w:t>
            </w:r>
            <w:proofErr w:type="gramStart"/>
            <w:r w:rsidRPr="007E3919">
              <w:t>п</w:t>
            </w:r>
            <w:proofErr w:type="gramEnd"/>
            <w:r w:rsidRPr="007E3919">
              <w:t>роведение проверок по информации, поступившей от государственных, муниципальных органов, общественных организаций, СМИ, граждан, юридических лиц о нарушении антикоррупционного законодательства и законодательства о муниципальной службе;</w:t>
            </w:r>
            <w:r w:rsidRPr="007E3919">
              <w:br/>
              <w:t xml:space="preserve">- </w:t>
            </w:r>
            <w:proofErr w:type="gramStart"/>
            <w:r w:rsidRPr="007E3919">
              <w:t>осуществление внутреннего контроля за предоставлением служащими сведений о доходах, расходах, об имуществе и обязательствах имущественного характера;</w:t>
            </w:r>
            <w:r w:rsidRPr="007E3919">
              <w:br/>
              <w:t>- проведение внутреннего контроля за уведомлением муниципальными служащими работодателя о намерении осуществлять иную оплачиваемую деятельность;</w:t>
            </w:r>
            <w:r w:rsidRPr="007E3919">
              <w:br/>
              <w:t>- осуществление контроля за уведомлением работодателями в сроки, установленные законодательством, о заключении с гражданами, замещавшими должности муниципальной службы трудовых договоров и (или) гражданско-правовых договоров;</w:t>
            </w:r>
            <w:proofErr w:type="gramEnd"/>
            <w:r w:rsidRPr="007E3919">
              <w:br/>
              <w:t>- осуществление контроля при рассмотрении вопросов на заседании Комиссии по урегулированию конфликта интересов;</w:t>
            </w:r>
            <w:r w:rsidRPr="007E3919">
              <w:br/>
              <w:t xml:space="preserve">- </w:t>
            </w:r>
            <w:proofErr w:type="gramStart"/>
            <w:r w:rsidRPr="007E3919">
              <w:t xml:space="preserve">осуществление контроля при проведении проверок в отношении муниципальных служащих с использованием Единого государственного реестра юридических лиц и Единого государственного реестра индивидуальных предпринимателей на предмет наличия сведений о них в качестве руководителя или учредителя (участника) юридического лица, а также на предмет наличия сведений о государственной регистрации в качестве ИП, крестьянских (фермерских) хозяйства. </w:t>
            </w:r>
            <w:proofErr w:type="gramEnd"/>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lastRenderedPageBreak/>
              <w:t>1.24</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продолжать осуществлять </w:t>
            </w:r>
            <w:proofErr w:type="gramStart"/>
            <w:r w:rsidRPr="007E3919">
              <w:t>контроль за</w:t>
            </w:r>
            <w:proofErr w:type="gramEnd"/>
            <w:r w:rsidRPr="007E3919">
              <w:t xml:space="preserve"> ситуацией, сложившейся на территории бывшего ОАО «Фосфор»;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Информация о проведенной работе администрацией городского округа Тольятти в отчетном периоде отражена в разделе 3.1.36. Отчета главы.</w:t>
            </w:r>
            <w:r w:rsidRPr="007E3919">
              <w:br/>
            </w:r>
            <w:r w:rsidRPr="007E3919">
              <w:lastRenderedPageBreak/>
              <w:t xml:space="preserve">Помимо этого, в целях защищенности от несанкционированного проникновения вся территория площадки бывшего ОАО «Фосфор» имеет ограждение по периметру, въезд, выезд и проход на территорию осуществляется по пропускам через три КПП. </w:t>
            </w:r>
            <w:r w:rsidRPr="007E3919">
              <w:br/>
              <w:t xml:space="preserve">Предприятие ООО «Химзавод» является владельцем инженерной инфраструктуры промышленной площадки бывшего ОАО «Фосфор», в связи с чем, обеспечивает безопасность от проникновения на территорию и иных незаконных посягательств по договору с агентством безопасности ЧОО «Грант». В качестве дополнительных мер безопасности ООО «Химзавод» внедрены следующие мероприятия: усиление </w:t>
            </w:r>
            <w:proofErr w:type="gramStart"/>
            <w:r w:rsidRPr="007E3919">
              <w:t>контроля за</w:t>
            </w:r>
            <w:proofErr w:type="gramEnd"/>
            <w:r w:rsidRPr="007E3919">
              <w:t xml:space="preserve"> соблюдением контрольно-пропускного режима сотрудниками ЧОО «Грант», оповещение руководителей организаций, расположенных на промышленной площадке бывшего ОАО «Фосфор», об усилении контрольно-пропускного режима на территории для пресечения свободного доступа посторонних лиц. Кроме этого, осуществляется патрулирование территории бывшего ОАО «Фосфор». </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lastRenderedPageBreak/>
              <w:t>1.25</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продолжить работу по разработке «дорожной карты» по обустройству мест массового отдыха на водных объектах Автозаводского и Комсомольского районов городского округа Тольятти и обеспечению безопасности людей на водных объектах во всех районах города, охране их жизни и здоровья;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В рамках реализации муниципальной программы «Формирование современной городской среды на 2018 - 2024 годы» запланировано благоустройство пляжа Центрального района (Итальянский пляж) на 2022 год. Также департаментом градостроительной деятельности подготовлен проект по реконструкции набережной Автозаводского района. Начало работ запланировано в 2021 году.</w:t>
            </w:r>
            <w:r w:rsidRPr="007E3919">
              <w:br/>
            </w:r>
            <w:proofErr w:type="gramStart"/>
            <w:r w:rsidRPr="007E3919">
              <w:t xml:space="preserve">Помимо этого, в отчетном периоде в полном объеме выполнены мероприятия по обеспечению безопасности людей на водных объектах во всех районах городского округа Тольятти, охране их жизни и здоровья в соответствии с Планом мероприятий по обеспечению безопасности людей на водных объектах общего пользования в границах городского округа Тольятти, утвержденным </w:t>
            </w:r>
            <w:r w:rsidRPr="007E3919">
              <w:lastRenderedPageBreak/>
              <w:t>постановлением мэрии городского округа Тольятти от 27.12.2013     № 4086-п/1 «О мерах по</w:t>
            </w:r>
            <w:proofErr w:type="gramEnd"/>
            <w:r w:rsidRPr="007E3919">
              <w:t xml:space="preserve"> обеспечению безопасности людей на водных объектах общего пользования в границах городского округа Тольятти».</w:t>
            </w:r>
            <w:r w:rsidRPr="007E3919">
              <w:br/>
              <w:t xml:space="preserve">В 2020 году в городском округе Тольятти функционировал один благоустроенный пляж (пляж Центрального района «Итальянский»), на котором осуществлялись мероприятия по обеспечению безопасности людей на водных объектах, охране их жизни и здоровья. </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lastRenderedPageBreak/>
              <w:t>1.26</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продолжить работу по увеличению финансирования противопожарных, </w:t>
            </w:r>
            <w:proofErr w:type="spellStart"/>
            <w:r w:rsidRPr="007E3919">
              <w:t>лесоохранных</w:t>
            </w:r>
            <w:proofErr w:type="spellEnd"/>
            <w:r w:rsidRPr="007E3919">
              <w:t xml:space="preserve">, лесовосстановительных мероприятий в лесах, расположенных в границах городского округа Тольятти;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По итогам рассмотрения обращений администрации городского округа Тольятти, направленных в адрес Правительства Самарской области в 2020 году, из областного бюджета предоставлена субсидия бюджету городского округа Тольятти на выполнение мероприятий по охране, защите и воспроизводству лесов.</w:t>
            </w:r>
            <w:r w:rsidRPr="007E3919">
              <w:br/>
            </w:r>
            <w:proofErr w:type="gramStart"/>
            <w:r w:rsidRPr="007E3919">
              <w:t>В соответствии с муниципальной программой «Охрана, защита и воспроизводство лесов, расположенных в границах городского округа Тольятти, на 2019-2023 годы», утвержденной постановлением администрации городского округа Тольятти от 10.07.2018 № 2025-п/1 (далее – Программа), в целях реализации государственной программы «Развитие лесного хозяйства Самарской области на 2014-2030 годы», утвержденной постановлением Правительства Самарской области от 14.11.2013 № 621, в 2020 году предусмотрены мероприятия на общую сумму</w:t>
            </w:r>
            <w:proofErr w:type="gramEnd"/>
            <w:r w:rsidRPr="007E3919">
              <w:t xml:space="preserve"> 22 719 тыс. руб. (в том числе: 2 764 тыс. руб. </w:t>
            </w:r>
            <w:proofErr w:type="gramStart"/>
            <w:r w:rsidRPr="007E3919">
              <w:t>–з</w:t>
            </w:r>
            <w:proofErr w:type="gramEnd"/>
            <w:r w:rsidRPr="007E3919">
              <w:t>а счет средств городского бюджета, 19 955 тыс. руб. – за счет средств областного бюджета):</w:t>
            </w:r>
            <w:r w:rsidRPr="007E3919">
              <w:br/>
              <w:t>1) обработка почвы под лесные культуры на площади 113 га на общую сумму 341 тыс. руб., в том числе:</w:t>
            </w:r>
            <w:r w:rsidRPr="007E3919">
              <w:br/>
              <w:t>- за счет средств городского бюджета – 39 тыс. руб.;</w:t>
            </w:r>
            <w:r w:rsidRPr="007E3919">
              <w:br/>
              <w:t>- за счет средств областного бюджета – 302 тыс. руб.</w:t>
            </w:r>
            <w:r w:rsidRPr="007E3919">
              <w:br/>
            </w:r>
            <w:proofErr w:type="gramStart"/>
            <w:r w:rsidRPr="007E3919">
              <w:lastRenderedPageBreak/>
              <w:t xml:space="preserve">2) </w:t>
            </w:r>
            <w:proofErr w:type="spellStart"/>
            <w:r w:rsidRPr="007E3919">
              <w:t>лесовосстановление</w:t>
            </w:r>
            <w:proofErr w:type="spellEnd"/>
            <w:r w:rsidRPr="007E3919">
              <w:t xml:space="preserve"> на площади 113 га на общую сумму 3 632 тыс. руб., в том числе:</w:t>
            </w:r>
            <w:r w:rsidRPr="007E3919">
              <w:br/>
              <w:t>- за счет средств городского бюджета – 414 тыс. руб.;</w:t>
            </w:r>
            <w:r w:rsidRPr="007E3919">
              <w:br/>
              <w:t>- за счет средств областного бюджета – 3218 тыс. руб.</w:t>
            </w:r>
            <w:r w:rsidRPr="007E3919">
              <w:br/>
              <w:t>3) проведение агротехнического ухода за лесными культурами на площади 859 га, на общую сумму 2 966 тыс. руб., в том числе:</w:t>
            </w:r>
            <w:r w:rsidRPr="007E3919">
              <w:br/>
              <w:t>- за счет средств городского бюджета – 380 тыс</w:t>
            </w:r>
            <w:proofErr w:type="gramEnd"/>
            <w:r w:rsidRPr="007E3919">
              <w:t xml:space="preserve">. </w:t>
            </w:r>
            <w:proofErr w:type="gramStart"/>
            <w:r w:rsidRPr="007E3919">
              <w:t>руб.;</w:t>
            </w:r>
            <w:r w:rsidRPr="007E3919">
              <w:br/>
              <w:t>- за счет средств областного бюджета – 2 586 тыс. руб.</w:t>
            </w:r>
            <w:r w:rsidRPr="007E3919">
              <w:br/>
              <w:t xml:space="preserve">4) дополнение лесных культур на площади 96 га на общую сумму 967 тыс. руб., в том числе: </w:t>
            </w:r>
            <w:r w:rsidRPr="007E3919">
              <w:br/>
              <w:t>- за счет средств городского бюджета – 113 тыс. руб.;</w:t>
            </w:r>
            <w:r w:rsidRPr="007E3919">
              <w:br/>
              <w:t>- за счет средств областного бюджета – 854 тыс. руб.</w:t>
            </w:r>
            <w:r w:rsidRPr="007E3919">
              <w:br/>
              <w:t>5) расчистка неликвидных лесных участков, пострадавших в результате засухи и последствий лесных пожаров на площади 119,4 га</w:t>
            </w:r>
            <w:proofErr w:type="gramEnd"/>
            <w:r w:rsidRPr="007E3919">
              <w:t xml:space="preserve"> </w:t>
            </w:r>
            <w:proofErr w:type="gramStart"/>
            <w:r w:rsidRPr="007E3919">
              <w:t>на общую сумму 6348 тыс. руб., в том числе:</w:t>
            </w:r>
            <w:r w:rsidRPr="007E3919">
              <w:br/>
              <w:t>- за счет средств городского бюджета – 698 тыс. руб.;</w:t>
            </w:r>
            <w:r w:rsidRPr="007E3919">
              <w:br/>
              <w:t>- за счет средств областного бюджета – 5650 тыс. руб.</w:t>
            </w:r>
            <w:r w:rsidRPr="007E3919">
              <w:br/>
              <w:t xml:space="preserve">6) приобретение </w:t>
            </w:r>
            <w:proofErr w:type="spellStart"/>
            <w:r w:rsidRPr="007E3919">
              <w:t>лесопожарной</w:t>
            </w:r>
            <w:proofErr w:type="spellEnd"/>
            <w:r w:rsidRPr="007E3919">
              <w:t xml:space="preserve"> техники и оборудования в количестве 4 ед. на общую сумму 3 017 тыс. руб., в том числе:</w:t>
            </w:r>
            <w:r w:rsidRPr="007E3919">
              <w:br/>
              <w:t>- за счет средств городского бюджета – 520 тыс. руб.;</w:t>
            </w:r>
            <w:r w:rsidRPr="007E3919">
              <w:br/>
              <w:t>- за счет средств областного бюджета – 2497 тыс</w:t>
            </w:r>
            <w:proofErr w:type="gramEnd"/>
            <w:r w:rsidRPr="007E3919">
              <w:t xml:space="preserve">. </w:t>
            </w:r>
            <w:proofErr w:type="gramStart"/>
            <w:r w:rsidRPr="007E3919">
              <w:t>руб.</w:t>
            </w:r>
            <w:r w:rsidRPr="007E3919">
              <w:br/>
              <w:t xml:space="preserve">7) приобретение техники и оборудования для выполнения </w:t>
            </w:r>
            <w:proofErr w:type="spellStart"/>
            <w:r w:rsidRPr="007E3919">
              <w:t>лесокультурных</w:t>
            </w:r>
            <w:proofErr w:type="spellEnd"/>
            <w:r w:rsidRPr="007E3919">
              <w:t xml:space="preserve"> работ в количестве 106 шт. на общую сумму 5 448 тыс. руб. в том числе:</w:t>
            </w:r>
            <w:r w:rsidRPr="007E3919">
              <w:br/>
              <w:t>- за счет средств городского бюджета – 600 тыс. руб.;</w:t>
            </w:r>
            <w:r w:rsidRPr="007E3919">
              <w:br/>
              <w:t>- за счет средств областного бюджета – 4848 тыс. руб.</w:t>
            </w:r>
            <w:r w:rsidRPr="007E3919">
              <w:br/>
              <w:t>В отчетном периоде имеются отклонения фактических значений показателей реализации мероприятий от плановых.</w:t>
            </w:r>
            <w:proofErr w:type="gramEnd"/>
            <w:r w:rsidRPr="007E3919">
              <w:br/>
              <w:t xml:space="preserve">Информация о результатах выполнения мероприятий Программы отражены в разделе 3.1.37. Отчета главы. </w:t>
            </w:r>
          </w:p>
        </w:tc>
      </w:tr>
      <w:tr w:rsidR="007E3919" w:rsidRPr="007E3919" w:rsidTr="00375F37">
        <w:trPr>
          <w:jc w:val="center"/>
        </w:trPr>
        <w:tc>
          <w:tcPr>
            <w:tcW w:w="961"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lastRenderedPageBreak/>
              <w:t>1.27</w:t>
            </w:r>
          </w:p>
        </w:tc>
        <w:tc>
          <w:tcPr>
            <w:tcW w:w="5492"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r w:rsidRPr="007E3919">
              <w:t xml:space="preserve">продолжить работу по оформлению лесов (лесных участков), расположенных в границах городского округа Тольятти, в муниципальную собственность. </w:t>
            </w:r>
          </w:p>
        </w:tc>
        <w:tc>
          <w:tcPr>
            <w:tcW w:w="7277" w:type="dxa"/>
            <w:tcBorders>
              <w:top w:val="outset" w:sz="6" w:space="0" w:color="000000"/>
              <w:left w:val="outset" w:sz="6" w:space="0" w:color="000000"/>
              <w:bottom w:val="outset" w:sz="6" w:space="0" w:color="000000"/>
              <w:right w:val="outset" w:sz="6" w:space="0" w:color="000000"/>
            </w:tcBorders>
            <w:hideMark/>
          </w:tcPr>
          <w:p w:rsidR="007E3919" w:rsidRPr="007E3919" w:rsidRDefault="007E3919" w:rsidP="007E3919">
            <w:proofErr w:type="gramStart"/>
            <w:r w:rsidRPr="007E3919">
              <w:t>По состоянию на 01.01.2021 в реестр муниципальной собственности включено 185 земельных участков об</w:t>
            </w:r>
            <w:r>
              <w:t xml:space="preserve">щей площадью 73 500 294 кв. м. </w:t>
            </w:r>
            <w:r w:rsidRPr="007E3919">
              <w:t>Администрацией городского округа Тольятти планируется продолжение работ по межеванию и постановке на кадастровый учет иных категорий земель, покрытых лесами, расположенных в границах городского округа Тольятти, после внесения изменений в Правила землепользования и застройки городского округа Тольятти.</w:t>
            </w:r>
            <w:proofErr w:type="gramEnd"/>
          </w:p>
        </w:tc>
      </w:tr>
    </w:tbl>
    <w:p w:rsidR="007E3919" w:rsidRPr="007E3919" w:rsidRDefault="007E3919" w:rsidP="00915AEA">
      <w:pPr>
        <w:rPr>
          <w:sz w:val="28"/>
        </w:rPr>
      </w:pPr>
    </w:p>
    <w:sectPr w:rsidR="007E3919" w:rsidRPr="007E3919" w:rsidSect="00560459">
      <w:headerReference w:type="default" r:id="rId7"/>
      <w:pgSz w:w="16838" w:h="11906" w:orient="landscape"/>
      <w:pgMar w:top="1134" w:right="851" w:bottom="851" w:left="851" w:header="709" w:footer="709" w:gutter="0"/>
      <w:pgNumType w:start="68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66D" w:rsidRDefault="007C666D" w:rsidP="002D22B8">
      <w:pPr>
        <w:spacing w:before="0" w:after="0"/>
      </w:pPr>
      <w:r>
        <w:separator/>
      </w:r>
    </w:p>
  </w:endnote>
  <w:endnote w:type="continuationSeparator" w:id="0">
    <w:p w:rsidR="007C666D" w:rsidRDefault="007C666D" w:rsidP="002D22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66D" w:rsidRDefault="007C666D" w:rsidP="002D22B8">
      <w:pPr>
        <w:spacing w:before="0" w:after="0"/>
      </w:pPr>
      <w:r>
        <w:separator/>
      </w:r>
    </w:p>
  </w:footnote>
  <w:footnote w:type="continuationSeparator" w:id="0">
    <w:p w:rsidR="007C666D" w:rsidRDefault="007C666D" w:rsidP="002D22B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234634"/>
      <w:docPartObj>
        <w:docPartGallery w:val="Page Numbers (Top of Page)"/>
        <w:docPartUnique/>
      </w:docPartObj>
    </w:sdtPr>
    <w:sdtEndPr/>
    <w:sdtContent>
      <w:p w:rsidR="002D22B8" w:rsidRDefault="002D22B8">
        <w:pPr>
          <w:pStyle w:val="a3"/>
          <w:jc w:val="center"/>
        </w:pPr>
        <w:r>
          <w:fldChar w:fldCharType="begin"/>
        </w:r>
        <w:r>
          <w:instrText>PAGE   \* MERGEFORMAT</w:instrText>
        </w:r>
        <w:r>
          <w:fldChar w:fldCharType="separate"/>
        </w:r>
        <w:r w:rsidR="00075C90">
          <w:rPr>
            <w:noProof/>
          </w:rPr>
          <w:t>712</w:t>
        </w:r>
        <w:r>
          <w:fldChar w:fldCharType="end"/>
        </w:r>
      </w:p>
    </w:sdtContent>
  </w:sdt>
  <w:p w:rsidR="002D22B8" w:rsidRDefault="002D22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8D"/>
    <w:rsid w:val="00075C90"/>
    <w:rsid w:val="002D22B8"/>
    <w:rsid w:val="002E0960"/>
    <w:rsid w:val="00560459"/>
    <w:rsid w:val="00656C8D"/>
    <w:rsid w:val="0066596E"/>
    <w:rsid w:val="00730E04"/>
    <w:rsid w:val="007C666D"/>
    <w:rsid w:val="007E3919"/>
    <w:rsid w:val="0081548E"/>
    <w:rsid w:val="00915AEA"/>
    <w:rsid w:val="00F15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919"/>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2B8"/>
    <w:pPr>
      <w:tabs>
        <w:tab w:val="center" w:pos="4677"/>
        <w:tab w:val="right" w:pos="9355"/>
      </w:tabs>
      <w:spacing w:before="0" w:after="0"/>
    </w:pPr>
  </w:style>
  <w:style w:type="character" w:customStyle="1" w:styleId="a4">
    <w:name w:val="Верхний колонтитул Знак"/>
    <w:basedOn w:val="a0"/>
    <w:link w:val="a3"/>
    <w:uiPriority w:val="99"/>
    <w:rsid w:val="002D22B8"/>
    <w:rPr>
      <w:rFonts w:ascii="Times New Roman" w:eastAsiaTheme="minorEastAsia" w:hAnsi="Times New Roman" w:cs="Times New Roman"/>
      <w:sz w:val="24"/>
      <w:szCs w:val="24"/>
      <w:lang w:eastAsia="ru-RU"/>
    </w:rPr>
  </w:style>
  <w:style w:type="paragraph" w:styleId="a5">
    <w:name w:val="footer"/>
    <w:basedOn w:val="a"/>
    <w:link w:val="a6"/>
    <w:uiPriority w:val="99"/>
    <w:unhideWhenUsed/>
    <w:rsid w:val="002D22B8"/>
    <w:pPr>
      <w:tabs>
        <w:tab w:val="center" w:pos="4677"/>
        <w:tab w:val="right" w:pos="9355"/>
      </w:tabs>
      <w:spacing w:before="0" w:after="0"/>
    </w:pPr>
  </w:style>
  <w:style w:type="character" w:customStyle="1" w:styleId="a6">
    <w:name w:val="Нижний колонтитул Знак"/>
    <w:basedOn w:val="a0"/>
    <w:link w:val="a5"/>
    <w:uiPriority w:val="99"/>
    <w:rsid w:val="002D22B8"/>
    <w:rPr>
      <w:rFonts w:ascii="Times New Roman" w:eastAsiaTheme="minorEastAsia" w:hAnsi="Times New Roman" w:cs="Times New Roman"/>
      <w:sz w:val="24"/>
      <w:szCs w:val="24"/>
      <w:lang w:eastAsia="ru-RU"/>
    </w:rPr>
  </w:style>
  <w:style w:type="paragraph" w:styleId="a7">
    <w:name w:val="Balloon Text"/>
    <w:basedOn w:val="a"/>
    <w:link w:val="a8"/>
    <w:uiPriority w:val="99"/>
    <w:semiHidden/>
    <w:unhideWhenUsed/>
    <w:rsid w:val="00075C90"/>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075C9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919"/>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2B8"/>
    <w:pPr>
      <w:tabs>
        <w:tab w:val="center" w:pos="4677"/>
        <w:tab w:val="right" w:pos="9355"/>
      </w:tabs>
      <w:spacing w:before="0" w:after="0"/>
    </w:pPr>
  </w:style>
  <w:style w:type="character" w:customStyle="1" w:styleId="a4">
    <w:name w:val="Верхний колонтитул Знак"/>
    <w:basedOn w:val="a0"/>
    <w:link w:val="a3"/>
    <w:uiPriority w:val="99"/>
    <w:rsid w:val="002D22B8"/>
    <w:rPr>
      <w:rFonts w:ascii="Times New Roman" w:eastAsiaTheme="minorEastAsia" w:hAnsi="Times New Roman" w:cs="Times New Roman"/>
      <w:sz w:val="24"/>
      <w:szCs w:val="24"/>
      <w:lang w:eastAsia="ru-RU"/>
    </w:rPr>
  </w:style>
  <w:style w:type="paragraph" w:styleId="a5">
    <w:name w:val="footer"/>
    <w:basedOn w:val="a"/>
    <w:link w:val="a6"/>
    <w:uiPriority w:val="99"/>
    <w:unhideWhenUsed/>
    <w:rsid w:val="002D22B8"/>
    <w:pPr>
      <w:tabs>
        <w:tab w:val="center" w:pos="4677"/>
        <w:tab w:val="right" w:pos="9355"/>
      </w:tabs>
      <w:spacing w:before="0" w:after="0"/>
    </w:pPr>
  </w:style>
  <w:style w:type="character" w:customStyle="1" w:styleId="a6">
    <w:name w:val="Нижний колонтитул Знак"/>
    <w:basedOn w:val="a0"/>
    <w:link w:val="a5"/>
    <w:uiPriority w:val="99"/>
    <w:rsid w:val="002D22B8"/>
    <w:rPr>
      <w:rFonts w:ascii="Times New Roman" w:eastAsiaTheme="minorEastAsia" w:hAnsi="Times New Roman" w:cs="Times New Roman"/>
      <w:sz w:val="24"/>
      <w:szCs w:val="24"/>
      <w:lang w:eastAsia="ru-RU"/>
    </w:rPr>
  </w:style>
  <w:style w:type="paragraph" w:styleId="a7">
    <w:name w:val="Balloon Text"/>
    <w:basedOn w:val="a"/>
    <w:link w:val="a8"/>
    <w:uiPriority w:val="99"/>
    <w:semiHidden/>
    <w:unhideWhenUsed/>
    <w:rsid w:val="00075C90"/>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075C9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32</Pages>
  <Words>8280</Words>
  <Characters>47198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Короткова Ольга Анатольевна</dc:creator>
  <cp:keywords/>
  <dc:description/>
  <cp:lastModifiedBy>Короткова Ольга Анатольевна</cp:lastModifiedBy>
  <cp:revision>7</cp:revision>
  <cp:lastPrinted>2021-06-01T09:02:00Z</cp:lastPrinted>
  <dcterms:created xsi:type="dcterms:W3CDTF">2021-04-26T12:32:00Z</dcterms:created>
  <dcterms:modified xsi:type="dcterms:W3CDTF">2021-06-01T09:17:00Z</dcterms:modified>
</cp:coreProperties>
</file>